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44521-01-17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נסאר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השופט  דניאל פיש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FrankRuehl"/>
                <w:b/>
                <w:bCs/>
                <w:highlight w:val="yellow"/>
              </w:rPr>
            </w:pPr>
            <w:r>
              <w:rPr>
                <w:rFonts w:cs="FrankRuehl" w:ascii="Arial" w:hAnsi="Arial"/>
                <w:b/>
                <w:bCs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פסקל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יאמן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חלו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דוניא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נעאמנה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יאמן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נאסר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פשוטה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פשוטה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שתחילתם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4.1.17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משכו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11670-02-14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באמצעותה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22.6.17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מאוזנת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ומאוזן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לאמצו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7166-09-15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61306-02-15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ראפע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42684-06-15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פרקליטות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מחוז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חיפה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ותד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בכלכלת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הזיוף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הכמויות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15-40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המטבעות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לאור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האמור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לעיל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מטיל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הבאים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480" w:start="15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שתחילתם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4.1.17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11670-02-14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480" w:start="15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480" w:start="15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ascii="Calibri" w:hAnsi="Calibri" w:cs="Calibri"/>
          <w:rtl w:val="true"/>
        </w:rPr>
        <w:t xml:space="preserve"> בראשון לכל חודש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480" w:start="1560" w:end="0"/>
        <w:contextualSpacing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לתפוסים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יושמד</w:t>
      </w:r>
      <w:r>
        <w:rPr>
          <w:rFonts w:cs="Calibri" w:ascii="Calibri" w:hAnsi="Calibri"/>
          <w:rtl w:val="true"/>
        </w:rPr>
        <w:t xml:space="preserve">.    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  <w:r>
              <w:rPr>
                <w:rFonts w:cs="Times New Roman"/>
                <w:color w:val="FFFFFF"/>
                <w:sz w:val="2"/>
                <w:szCs w:val="2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44521-01-17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יאמן חלו נסאר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0"/>
        </w:tabs>
        <w:ind w:start="1560" w:hanging="48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פיסקת רשימה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477.1" TargetMode="External"/><Relationship Id="rId6" Type="http://schemas.openxmlformats.org/officeDocument/2006/relationships/hyperlink" Target="http://www.nevo.co.il/law/70301/477.2" TargetMode="External"/><Relationship Id="rId7" Type="http://schemas.openxmlformats.org/officeDocument/2006/relationships/hyperlink" Target="http://www.nevo.co.il/law/70301/477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77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case/11298983" TargetMode="External"/><Relationship Id="rId13" Type="http://schemas.openxmlformats.org/officeDocument/2006/relationships/hyperlink" Target="http://www.nevo.co.il/case/20551957" TargetMode="External"/><Relationship Id="rId14" Type="http://schemas.openxmlformats.org/officeDocument/2006/relationships/hyperlink" Target="http://www.nevo.co.il/case/20104770" TargetMode="External"/><Relationship Id="rId15" Type="http://schemas.openxmlformats.org/officeDocument/2006/relationships/hyperlink" Target="http://www.nevo.co.il/case/20368946" TargetMode="External"/><Relationship Id="rId16" Type="http://schemas.openxmlformats.org/officeDocument/2006/relationships/hyperlink" Target="http://www.nevo.co.il/case/11298983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2017-07-11T12:39:00Z</dcterms:created>
  <dc:creator> </dc:creator>
  <dc:description/>
  <cp:keywords/>
  <dc:language>en-IL</dc:language>
  <cp:lastModifiedBy>run</cp:lastModifiedBy>
  <dcterms:modified xsi:type="dcterms:W3CDTF">2017-07-11T12:39:00Z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יאמן חלו נסאר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11298983:2;20551957;20104770;20368946</vt:lpwstr>
  </property>
  <property fmtid="{D5CDD505-2E9C-101B-9397-08002B2CF9AE}" pid="9" name="CITY">
    <vt:lpwstr>חי'</vt:lpwstr>
  </property>
  <property fmtid="{D5CDD505-2E9C-101B-9397-08002B2CF9AE}" pid="10" name="DATE">
    <vt:lpwstr>20170705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70301/477.2;477.1;144.a;244</vt:lpwstr>
  </property>
  <property fmtid="{D5CDD505-2E9C-101B-9397-08002B2CF9AE}" pid="15" name="LAWYER">
    <vt:lpwstr>בני פסקל;דוניא נעאמנה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44521</vt:lpwstr>
  </property>
  <property fmtid="{D5CDD505-2E9C-101B-9397-08002B2CF9AE}" pid="22" name="NEWPARTB">
    <vt:lpwstr>01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390020170705</vt:lpwstr>
  </property>
  <property fmtid="{D5CDD505-2E9C-101B-9397-08002B2CF9AE}" pid="34" name="TYPE_N_DATE">
    <vt:lpwstr>39020170705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