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3"/>
        <w:gridCol w:w="365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4459-03-24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אבי לוי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עלי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bookmarkStart w:id="6" w:name="ABSTRACT_START"/>
      <w:bookmarkEnd w:id="6"/>
      <w:r>
        <w:rPr>
          <w:rFonts w:ascii="Calibri" w:hAnsi="Calibri" w:eastAsia="Calibri" w:cs="Calibri"/>
          <w:rtl w:val="true"/>
        </w:rPr>
        <w:t>הנאשמים שלפניי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עלי מחאג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נה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 xml:space="preserve">"), </w:t>
      </w:r>
      <w:r>
        <w:rPr>
          <w:rFonts w:ascii="Calibri" w:hAnsi="Calibri" w:eastAsia="Calibri" w:cs="Calibri"/>
          <w:b/>
          <w:b/>
          <w:bCs/>
          <w:rtl w:val="true"/>
        </w:rPr>
        <w:t>ומוחמד מחאג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נה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2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 xml:space="preserve">הורשעו ביום </w:t>
      </w:r>
      <w:r>
        <w:rPr>
          <w:rFonts w:eastAsia="Calibri" w:cs="Calibri" w:ascii="Calibri" w:hAnsi="Calibri"/>
        </w:rPr>
        <w:t>15.7.24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סמך הודאתם בעובדות כתב אישום מתוקן אשר הוגש נגדם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בביצוען של עבירות שעניינן </w:t>
      </w:r>
      <w:r>
        <w:rPr>
          <w:rFonts w:ascii="David" w:hAnsi="David" w:eastAsia="Calibri"/>
          <w:b/>
          <w:b/>
          <w:bCs/>
          <w:rtl w:val="true"/>
        </w:rPr>
        <w:t>בסיוע להחזקת נשק</w:t>
      </w:r>
      <w:r>
        <w:rPr>
          <w:rFonts w:ascii="David" w:hAnsi="David" w:eastAsia="Calibri"/>
          <w:rtl w:val="true"/>
        </w:rPr>
        <w:t xml:space="preserve"> לפי </w:t>
      </w:r>
      <w:hyperlink r:id="rId13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 </w:t>
      </w:r>
      <w:r>
        <w:rPr>
          <w:rFonts w:eastAsia="Calibri" w:cs="David" w:ascii="David" w:hAnsi="David"/>
          <w:rtl w:val="true"/>
        </w:rPr>
        <w:t xml:space="preserve">- </w:t>
      </w:r>
      <w:hyperlink r:id="rId14">
        <w:r>
          <w:rPr>
            <w:rStyle w:val="Hyperlink"/>
            <w:rFonts w:eastAsia="Calibri" w:cs="David" w:ascii="David" w:hAnsi="David"/>
            <w:color w:val="0000FF"/>
          </w:rPr>
          <w:t>31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או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החוק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b/>
          <w:b/>
          <w:bCs/>
          <w:rtl w:val="true"/>
        </w:rPr>
        <w:t>והפרעה לשוטר במילוי תפקיד</w:t>
      </w:r>
      <w:r>
        <w:rPr>
          <w:rFonts w:ascii="David" w:hAnsi="David" w:eastAsia="Calibri"/>
          <w:rtl w:val="true"/>
        </w:rPr>
        <w:t xml:space="preserve"> לפי </w:t>
      </w:r>
      <w:hyperlink r:id="rId16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275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בביצוען של עבירות שעניינן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החזקת נשק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17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רישה וסיפה ל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>והפרעה לשוטר במילוי תפקיד</w:t>
      </w:r>
      <w:r>
        <w:rPr>
          <w:rFonts w:ascii="David" w:hAnsi="David" w:eastAsia="Calibri"/>
          <w:rtl w:val="true"/>
        </w:rPr>
        <w:t xml:space="preserve"> לפי </w:t>
      </w:r>
      <w:hyperlink r:id="rId19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275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bookmarkStart w:id="7" w:name="ABSTRACT_END"/>
      <w:bookmarkEnd w:id="7"/>
      <w:r>
        <w:rPr>
          <w:rFonts w:ascii="David" w:hAnsi="David" w:eastAsia="Calibri"/>
          <w:rtl w:val="true"/>
        </w:rPr>
        <w:t>כאן המקום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 הסדר הטיעון הצדדים לא הגיעו להסכמות בעניין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הוסכם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כלי רכב שנתפס יוחזר 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בכפוף ולאחר הפקדה 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ס </w:t>
      </w:r>
      <w:r>
        <w:rPr>
          <w:rFonts w:eastAsia="Calibri" w:cs="David" w:ascii="David" w:hAnsi="David"/>
        </w:rPr>
        <w:t>15,000</w:t>
      </w:r>
      <w:r>
        <w:rPr>
          <w:rFonts w:eastAsia="Calibri" w:cs="David" w:ascii="David" w:hAnsi="David"/>
          <w:rtl w:val="true"/>
        </w:rPr>
        <w:t xml:space="preserve"> ₪, </w:t>
      </w:r>
      <w:r>
        <w:rPr>
          <w:rFonts w:ascii="David" w:hAnsi="David" w:eastAsia="Calibri"/>
          <w:rtl w:val="true"/>
        </w:rPr>
        <w:t>סכום שיחולט חלף הרכב האמור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 xml:space="preserve">עובדות ההרשעה </w:t>
      </w:r>
      <w:r>
        <w:rPr>
          <w:rFonts w:ascii="Calibri" w:hAnsi="Calibri" w:eastAsia="Calibri" w:cs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עובדות הרשעתם של הנאשמים בכתב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הינן כדלהלן </w:t>
      </w:r>
      <w:r>
        <w:rPr>
          <w:rFonts w:eastAsia="Calibri" w:cs="Calibri" w:ascii="Calibri" w:hAnsi="Calibri"/>
          <w:rtl w:val="true"/>
        </w:rPr>
        <w:t xml:space="preserve">- 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14.2.24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17:20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או בסמוך לכך ישבו הנאשמים ברכב מסוג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טויוטה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בעל לוחית זיהוי מספר </w:t>
      </w:r>
      <w:r>
        <w:rPr>
          <w:rFonts w:eastAsia="Calibri" w:cs="Calibri" w:ascii="Calibri" w:hAnsi="Calibri"/>
        </w:rPr>
        <w:t>443-66-401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כאשר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ישב במושב הנהג ונאשם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ישב במושב הנוסע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כשברשותו אקדח מסוג </w:t>
      </w:r>
      <w:r>
        <w:rPr>
          <w:rFonts w:eastAsia="Calibri" w:cs="Calibri" w:ascii="Calibri" w:hAnsi="Calibri"/>
        </w:rPr>
        <w:t>Baretta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שהוא כלי נשק שסוגל לירות כדור ושבכוחו להמית אדם ובתוכו מחסנית שהינה אבזר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ושאותם החזיק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שלא כדין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בשלב זה השוטרים עלא פלאח ודאוד עליסאת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שהיו במסגרת פעילות משטרתית שגרתית בשכונת אלמסאית באום אל פאחם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התקרבו אל הרכב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לאחר שהנאשמים הבחינו בשוטרים מתקרבים לעברם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החזיק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את הנשק והניח אותו מתחת למושב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סייע לו בהחזקת הנשק על ידי כך שהחל מסיע את הרכב במטרה למנוע מהשוטרים לחסום אותו ולתפוס את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שהיה אותה העת ברכב 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כן התבטא הסיוע בכך שבהיותו נהג הרכב ניסה למלט את עצמו ואת חברו בנסיעה מן המקום ולחמוק מן השוטרים הממלאים את תפקידם כחוק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וזאת בכוונה להפריע להם או להכשילם בכך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בשלב זה עצרו השוטרים את הנאשמים כשהנשק מונח מתחת למושב הנהג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במעשיהם המתוארים 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נכתב בכתב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ביצעו הנאשמים עבירות כדלקמן –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החזיק אקדח ומחסנית המהווים יחדיו נשק שהינו כלי שסוגל לירות כדור ושבכוחו להמית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כל זאת בלא רשות על פי דין להחזקתם והכול בסיועו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שעשה מעשים כדי לאפשר את החזקתם ולהקל עליה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עשה מעשה בכוונה להפריע לשוטרים כשהם ממלאים את תפקידם כחוק או כדי להכשילם בכך שהחל בנסיעה עם הרכב</w:t>
      </w:r>
      <w:r>
        <w:rPr>
          <w:rFonts w:ascii="Calibri" w:hAnsi="Calibri" w:eastAsia="Calibri" w:cs="Calibri"/>
          <w:rtl w:val="true"/>
        </w:rPr>
        <w:t xml:space="preserve">  </w:t>
      </w:r>
      <w:r>
        <w:rPr>
          <w:rFonts w:ascii="Calibri" w:hAnsi="Calibri" w:eastAsia="Calibri" w:cs="Calibri"/>
          <w:rtl w:val="true"/>
        </w:rPr>
        <w:t xml:space="preserve">ונאשם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עשה מעשה בכוונה להפריע לשוטרים כשהם ממלאים תפקידם כחוק או כדי להכשילם בכך שהניח את הנשק מתחת למושב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ראיות לעניין העונש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פסקל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ציין כי </w:t>
      </w:r>
      <w:r>
        <w:rPr>
          <w:rFonts w:ascii="Calibri" w:hAnsi="Calibri" w:eastAsia="Calibri" w:cs="Calibri"/>
          <w:b/>
          <w:b/>
          <w:bCs/>
          <w:rtl w:val="true"/>
        </w:rPr>
        <w:t>הנאשמים נעדרים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לא הוצגו ראיות נוספות לעניין העונש בעניינם של הנאשמים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טיעוני המאשימה לעניין העונש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 עמד על הערכים המוגנים שנפגעו כפועל יוצא ממעשיהם של הנאשמים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הודגש הצורך העז בהעברת מסר הרתעתי מצדם של בתי המשפט נוכח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מכת המדינה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של עבירות בנשק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הפרקליט סקר את מדיניות הענישה הנהוגה ועתר לשרטט מתחם ענישה הולם ביחס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אשר ינוע בין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לבין 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בעניינו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התבקשתי לשרטט מתחם ענישה הנע בין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לבין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בהתייחס לנסיבות שאינן קשורות בביצוען של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צוין כי יש לשקלל את עברם הנקי של הנאשמים כמו גם את הודאתם המהירה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ניהול הליך הוכחות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עצור החל מיום </w:t>
      </w:r>
      <w:r>
        <w:rPr>
          <w:rFonts w:eastAsia="Calibri" w:cs="Calibri" w:ascii="Calibri" w:hAnsi="Calibri"/>
        </w:rPr>
        <w:t>30.5.24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בפיקוח אלקטרוני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טיעוני ההגנה לעניין העונש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u w:val="single"/>
        </w:rPr>
        <w:t>1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סנגורו המלומד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פלומו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התייחס בתחילת טיעוניו אל נסיבות ביצוע עבירת הסיוע להחזקת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הבחין בהימצאותו של הנשק רק עם הגיעה של המשטרה לקרבת 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נטען שלא היה תכנון מוקדם במעשי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לא הייתה תחמושת במחסנית שנתפסה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הסנגור עמד על גילו הצעיר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לקיחת האחריות המהירה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עוד עמד על פסיקה המתאימה לשיטתו לעניינו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מכל מקום אין להשית קנס על נאשם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נוכח הסכמתו להפקיד של </w:t>
      </w:r>
      <w:r>
        <w:rPr>
          <w:rFonts w:eastAsia="Calibri" w:cs="Calibri" w:ascii="Calibri" w:hAnsi="Calibri"/>
        </w:rPr>
        <w:t>15,000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לטובת חילוט ושחרור הרכב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בדבריו אל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ציין כי למד את לקחו ממעשיו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והתחייב שלא יחזור על אלו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u w:val="single"/>
        </w:rPr>
        <w:t>2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סנגורו המלומד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רז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הגיש לבית המשפט מסמך טיעונים לעניין העונש בכתב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טעה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פורט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יש למקם את עונשו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בצמוד לרף התחתון של מתחם הענישה שהוצע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בין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לבין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 xml:space="preserve">הסנגור הפנה לשם כך לפסיקה המתאימה לשיטתו לעניינו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וציין כי הנאשם הוא אדם נורמטיבי ללא הרשעות קודמות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אביו של הנאשם נפטר כשהנאשם היה ילד כבן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הוא עוזר למשפחתו כלכלית כשכיר בתחום הבניין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בעוד אמו מתקיימת מקצבת ביטוח לאומי ומתמודדת עם מחלה קשה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 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נתבקשתי שלא להשית על הנאשם קנס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הוזכר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הודה באופן מהיר במעשיו ויש לזקוף לזכותו נתון זה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2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פנה בדבריו אל בית המשפט</w:t>
      </w:r>
      <w:r>
        <w:rPr>
          <w:rFonts w:ascii="Calibri" w:hAnsi="Calibri" w:eastAsia="Calibri" w:cs="Calibri"/>
          <w:rtl w:val="true"/>
        </w:rPr>
        <w:t xml:space="preserve"> ציין כי הוא מצטער על מעשיו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הוסיף שלא יחזור על מעשים דומים עוד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רכישתו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הובלתו והשימוש בו הפכו למרבה הצער למכת מדינה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 למשל</w:t>
      </w:r>
      <w:r>
        <w:rPr>
          <w:rFonts w:eastAsia="Calibri" w:cs="David" w:ascii="David" w:hAnsi="David"/>
          <w:rtl w:val="true"/>
        </w:rPr>
        <w:t xml:space="preserve">: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29.3.22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מדינה ריבונית ומתוקנת איננה יכולה לקבל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גורל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תופעה שבמסגרתה מוחזק נשק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חוקי בקרב אזרחיה ותושביה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תופעה שכזו חותרת תחת שלומם של אזרחיה וביטחונם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ועלולה חלילה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לכרסם ביסודות לחם חוקה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מיותר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ניסיון להפריע לאנשי החוק לעשות את מלאכתם נאמנה בהקשרים אלו מכרסמת עוד יותר ביסודות הנוגעים לשלום הציבור ושלטון החוק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פעם אחר פעם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ועמד 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העליון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 נשק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המוחזק בידיים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מוסמכות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עלול בסופו להגיע לכלל שימוש מסוכן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מתאימים לעניין זה הדברים שנכתבו במסגרתו של 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17-16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ולפיהם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276" w:before="0" w:after="200"/>
        <w:ind w:start="793" w:end="851"/>
        <w:jc w:val="both"/>
        <w:rPr>
          <w:rFonts w:ascii="Miriam" w:hAnsi="Miriam" w:eastAsia="Calibri" w:cs="Miriam"/>
        </w:rPr>
      </w:pPr>
      <w:r>
        <w:rPr>
          <w:rFonts w:eastAsia="Calibri" w:cs="Miriam" w:ascii="Miriam" w:hAnsi="Miriam"/>
          <w:rtl w:val="true"/>
        </w:rPr>
        <w:t>"</w:t>
      </w:r>
      <w:r>
        <w:rPr>
          <w:rFonts w:ascii="Miriam" w:hAnsi="Miriam" w:eastAsia="Calibri" w:cs="Miriam"/>
          <w:rtl w:val="true"/>
        </w:rPr>
        <w:t>השימוש בנשק חם ככלי ליישוב סכסוכים הפך לרעה חולה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Miriam" w:ascii="Miriam" w:hAnsi="Miriam"/>
          <w:rtl w:val="true"/>
        </w:rPr>
        <w:t>(</w:t>
      </w:r>
      <w:r>
        <w:rPr>
          <w:rFonts w:ascii="Miriam" w:hAnsi="Miriam" w:eastAsia="Calibri" w:cs="Miriam"/>
          <w:rtl w:val="true"/>
        </w:rPr>
        <w:t>ראו למשל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דו</w:t>
      </w:r>
      <w:r>
        <w:rPr>
          <w:rFonts w:eastAsia="Calibri" w:cs="Miriam" w:ascii="Miriam" w:hAnsi="Miriam"/>
          <w:rtl w:val="true"/>
        </w:rPr>
        <w:t>"</w:t>
      </w:r>
      <w:r>
        <w:rPr>
          <w:rFonts w:ascii="Miriam" w:hAnsi="Miriam" w:eastAsia="Calibri" w:cs="Miriam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Miriam" w:ascii="Miriam" w:hAnsi="Miriam"/>
        </w:rPr>
        <w:t>28</w:t>
      </w:r>
      <w:r>
        <w:rPr>
          <w:rFonts w:eastAsia="Calibri" w:cs="Miriam" w:ascii="Miriam" w:hAnsi="Miriam"/>
          <w:rtl w:val="true"/>
        </w:rPr>
        <w:t xml:space="preserve"> (</w:t>
      </w:r>
      <w:r>
        <w:rPr>
          <w:rFonts w:eastAsia="Calibri" w:cs="Miriam" w:ascii="Miriam" w:hAnsi="Miriam"/>
        </w:rPr>
        <w:t>2018</w:t>
      </w:r>
      <w:r>
        <w:rPr>
          <w:rFonts w:eastAsia="Calibri" w:cs="Miriam" w:ascii="Miriam" w:hAnsi="Miriam"/>
          <w:rtl w:val="true"/>
        </w:rPr>
        <w:t>)).</w:t>
      </w:r>
      <w:r>
        <w:rPr>
          <w:rFonts w:ascii="Miriam" w:hAnsi="Miriam" w:eastAsia="Calibri" w:cs="Miriam"/>
          <w:rtl w:val="true"/>
        </w:rPr>
        <w:t>על רקע המציאות אותה אנו חווים למרבה הצער מדי יום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Miriam" w:ascii="Miriam" w:hAnsi="Miriam"/>
          <w:rtl w:val="true"/>
        </w:rPr>
        <w:t>.</w:t>
      </w:r>
    </w:p>
    <w:p>
      <w:pPr>
        <w:pStyle w:val="Normal"/>
        <w:spacing w:lineRule="auto" w:line="276" w:before="0" w:after="200"/>
        <w:ind w:start="793" w:end="851"/>
        <w:jc w:val="both"/>
        <w:rPr>
          <w:rFonts w:ascii="Miriam" w:hAnsi="Miriam" w:eastAsia="Calibri" w:cs="Miriam"/>
        </w:rPr>
      </w:pPr>
      <w:r>
        <w:rPr>
          <w:rFonts w:eastAsia="Calibri" w:cs="Miriam" w:ascii="Miriam" w:hAnsi="Miriam"/>
          <w:rtl w:val="true"/>
        </w:rPr>
        <w:t>[...]</w:t>
      </w:r>
    </w:p>
    <w:p>
      <w:pPr>
        <w:pStyle w:val="Normal"/>
        <w:spacing w:lineRule="auto" w:line="276" w:before="0" w:after="200"/>
        <w:ind w:start="793" w:end="851"/>
        <w:jc w:val="both"/>
        <w:rPr/>
      </w:pPr>
      <w:r>
        <w:rPr>
          <w:rFonts w:ascii="Miriam" w:hAnsi="Miriam" w:eastAsia="Calibri" w:cs="Miriam"/>
          <w:rtl w:val="true"/>
        </w:rPr>
        <w:t>בהתאם לכך ולנוכח ריבוי מקרי הירי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b/>
          <w:b/>
          <w:bCs/>
          <w:u w:val="single"/>
          <w:rtl w:val="true"/>
        </w:rPr>
        <w:t>יש לנקוט במדיניות ענישה מחמירה כלפי ביצוע עבירות החזקת נשק שלא כדין</w:t>
      </w:r>
      <w:r>
        <w:rPr>
          <w:rFonts w:eastAsia="Calibri" w:cs="Miriam" w:ascii="Miriam" w:hAnsi="Miriam"/>
          <w:b/>
          <w:bCs/>
          <w:u w:val="single"/>
          <w:rtl w:val="true"/>
        </w:rPr>
        <w:t>,</w:t>
      </w:r>
      <w:r>
        <w:rPr>
          <w:rFonts w:eastAsia="Calibri" w:cs="Miriam" w:ascii="Miriam" w:hAnsi="Miriam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ועל אחת כמה וכמה שימוש בנשק חם ופציעתם של קורבנות שונים עקב כך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כמו גם להגעתו של נשק זה לגורמים עויינים ובכללם גורמי טרור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נמצא אפוא כי בנסיבות דהיום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ראוי ונכון להחמיר את מדיניות הענישה הנוהגת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eastAsia="Calibri" w:cs="Miriam" w:ascii="Miriam" w:hAnsi="Miriam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ההדגשה אינה במקור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נפנים לבצע את מלאכת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העיקרון המנחה שנקבע במסגרת תורת הבניית שיקול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הדעת השיפוטי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עקרון ההלימה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שימור יחס הולם בין חומרת מעשה העבירה בנסיבותיו ומידת אשמו של הנאשם ובין סוג העונש המוטל עליו ומידתו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מנת לשמר יחס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לקביעת העונש יש לשרטט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התחשבות בערך החברתי בו פגע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קביעת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 שבית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לא מצא לנכון לסטות הימנו מטעמים של שיקום או של הגנה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העונש המתאים לנאשם בשים לב לנסיבותיו האישיות ולנתונים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שאינם 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ראשית אציין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העבירות שאותן ביצעו הנאשמים מהוות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אירוע אחד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שכן בהחלט קיים בין אלה קשר הדוק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u w:val="single"/>
          <w:rtl w:val="true"/>
        </w:rPr>
        <w:t>העבירות כולן התרחשו כחלק בלתי נפרד מהרצון</w:t>
      </w:r>
      <w:r>
        <w:rPr>
          <w:rFonts w:ascii="Calibri" w:hAnsi="Calibri" w:eastAsia="Calibri" w:cs="Calibri"/>
          <w:u w:val="single"/>
          <w:rtl w:val="true"/>
        </w:rPr>
        <w:t xml:space="preserve"> למנוע מן השוטרים לתפוס את הנשק ברכב ולהימלט בנסיעה מן המקום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</w:t>
      </w:r>
      <w:r>
        <w:rPr>
          <w:rFonts w:eastAsia="Calibri" w:cs="David" w:ascii="David" w:hAnsi="David"/>
          <w:rtl w:val="true"/>
        </w:rPr>
        <w:t xml:space="preserve">: 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4910/13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אבר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השופטת ברק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ארז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29.10.14</w:t>
      </w:r>
      <w:r>
        <w:rPr>
          <w:rFonts w:eastAsia="Calibri" w:cs="David" w:ascii="David" w:hAnsi="David"/>
          <w:rtl w:val="true"/>
        </w:rPr>
        <w:t xml:space="preserve">; 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9308/12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עיסא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30.7.15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מתחם עונש אחד הולם לכלל המעשים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24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>).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אף קביעה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יישמר בגזירת העונש יחס הולם בין חומרת </w:t>
      </w:r>
      <w:r>
        <w:rPr>
          <w:rFonts w:ascii="Calibri" w:hAnsi="Calibri" w:eastAsia="Calibri" w:cs="Calibri"/>
          <w:u w:val="single"/>
          <w:rtl w:val="true"/>
        </w:rPr>
        <w:t>מכלול המעשים</w:t>
      </w:r>
      <w:r>
        <w:rPr>
          <w:rFonts w:ascii="Calibri" w:hAnsi="Calibri" w:eastAsia="Calibri" w:cs="Calibri"/>
          <w:rtl w:val="true"/>
        </w:rPr>
        <w:t xml:space="preserve"> ומידת אשמם של הנאשמים לבין תקופת המאסר שיהא עליהם לרצות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סעיף </w:t>
      </w:r>
      <w:hyperlink r:id="rId25">
        <w:r>
          <w:rPr>
            <w:rStyle w:val="Hyperlink"/>
            <w:rFonts w:eastAsia="Calibri"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יג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ראשית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אפנה לדון </w:t>
      </w:r>
      <w:r>
        <w:rPr>
          <w:rFonts w:ascii="David" w:hAnsi="David" w:eastAsia="Calibri"/>
          <w:b/>
          <w:b/>
          <w:bCs/>
          <w:rtl w:val="true"/>
        </w:rPr>
        <w:t>בעניינו של 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>בכל הנוגע לערכים החברתיים המוגנים שנפגעו כפועל יוצא ממעשיו של נאשם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שהדברים מובנים מאליהם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המחזיק נשק בלא רשות על פי דין והמפריע לשוטרים במילוי תפקידם 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 ובמנגנוני שלטונה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בשלום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פוגע בביטחון הציבור </w:t>
      </w:r>
      <w:r>
        <w:rPr>
          <w:rFonts w:ascii="David" w:hAnsi="David" w:eastAsia="Calibri"/>
          <w:b/>
          <w:b/>
          <w:bCs/>
          <w:rtl w:val="true"/>
        </w:rPr>
        <w:t>וחושף אותו לאירועי טרור עוין כמו גם פלילי המבוצעים באמצעות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המוחזק והמושג שלא כחוק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הפגיעה בערכים אלו ממשית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>תופעה זו יש לבער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הדברים בוטאו כך 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השופט מזוז במסגרתו של 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15.11.19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בציינו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276" w:before="0" w:after="200"/>
        <w:ind w:start="1371" w:end="851"/>
        <w:jc w:val="both"/>
        <w:rPr/>
      </w:pPr>
      <w:r>
        <w:rPr>
          <w:rFonts w:eastAsia="Calibri" w:cs="Miriam" w:ascii="Miriam" w:hAnsi="Miriam"/>
          <w:b/>
          <w:rtl w:val="true"/>
        </w:rPr>
        <w:t>"</w:t>
      </w:r>
      <w:r>
        <w:rPr>
          <w:rFonts w:ascii="Miriam" w:hAnsi="Miriam" w:eastAsia="Calibri" w:cs="Miriam"/>
          <w:b/>
          <w:b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eastAsia="Calibri" w:cs="Miriam" w:ascii="Miriam" w:hAnsi="Miriam"/>
          <w:b/>
          <w:rtl w:val="true"/>
        </w:rPr>
        <w:t xml:space="preserve">, </w:t>
      </w:r>
      <w:r>
        <w:rPr>
          <w:rFonts w:ascii="Miriam" w:hAnsi="Miriam" w:eastAsia="Calibri" w:cs="Miriam"/>
          <w:b/>
          <w:b/>
          <w:rtl w:val="true"/>
        </w:rPr>
        <w:t xml:space="preserve">בבחינת </w:t>
      </w:r>
      <w:r>
        <w:rPr>
          <w:rFonts w:eastAsia="Calibri" w:cs="Miriam" w:ascii="Miriam" w:hAnsi="Miriam"/>
          <w:b/>
          <w:rtl w:val="true"/>
        </w:rPr>
        <w:t>'</w:t>
      </w:r>
      <w:r>
        <w:rPr>
          <w:rFonts w:ascii="Miriam" w:hAnsi="Miriam" w:eastAsia="Calibri" w:cs="Miriam"/>
          <w:b/>
          <w:b/>
          <w:rtl w:val="true"/>
        </w:rPr>
        <w:t>ייבוש הביצה</w:t>
      </w:r>
      <w:r>
        <w:rPr>
          <w:rFonts w:eastAsia="Calibri" w:cs="Miriam" w:ascii="Miriam" w:hAnsi="Miriam"/>
          <w:b/>
          <w:rtl w:val="true"/>
        </w:rPr>
        <w:t xml:space="preserve">' </w:t>
      </w:r>
      <w:r>
        <w:rPr>
          <w:rFonts w:ascii="Miriam" w:hAnsi="Miriam" w:eastAsia="Calibri" w:cs="Miriam"/>
          <w:b/>
          <w:b/>
          <w:rtl w:val="true"/>
        </w:rPr>
        <w:t>המשמשת ערש לגידולן של תופעות אלה</w:t>
      </w:r>
      <w:r>
        <w:rPr>
          <w:rFonts w:eastAsia="Calibri" w:cs="Miriam" w:ascii="Miriam" w:hAnsi="Miriam"/>
          <w:b/>
          <w:rtl w:val="true"/>
        </w:rPr>
        <w:t xml:space="preserve">. </w:t>
      </w:r>
      <w:r>
        <w:rPr>
          <w:rFonts w:ascii="Miriam" w:hAnsi="Miriam" w:eastAsia="Calibri" w:cs="Miriam"/>
          <w:bCs/>
          <w:rtl w:val="true"/>
        </w:rPr>
        <w:t>מהלך כזה מחייב הירתמות גם של בתי המשפט</w:t>
      </w:r>
      <w:r>
        <w:rPr>
          <w:rFonts w:eastAsia="Calibri" w:cs="Miriam" w:ascii="Miriam" w:hAnsi="Miriam"/>
          <w:bCs/>
          <w:rtl w:val="true"/>
        </w:rPr>
        <w:t xml:space="preserve">, </w:t>
      </w:r>
      <w:r>
        <w:rPr>
          <w:rFonts w:ascii="Miriam" w:hAnsi="Miriam" w:eastAsia="Calibri" w:cs="Miriam"/>
          <w:bCs/>
          <w:rtl w:val="true"/>
        </w:rPr>
        <w:t>על ידי ענישה מחמירה ומרתיעה לעבירות נשק בלתי חוקי באשר הן</w:t>
      </w:r>
      <w:r>
        <w:rPr>
          <w:rFonts w:eastAsia="Calibri" w:cs="Miriam" w:ascii="Miriam" w:hAnsi="Miriam"/>
          <w:bCs/>
          <w:rtl w:val="true"/>
        </w:rPr>
        <w:t xml:space="preserve">, </w:t>
      </w:r>
      <w:r>
        <w:rPr>
          <w:rFonts w:ascii="Miriam" w:hAnsi="Miriam" w:eastAsia="Calibri" w:cs="Miriam"/>
          <w:bCs/>
          <w:rtl w:val="true"/>
        </w:rPr>
        <w:t>וכל שכן מקום שנעשה בנשק כזה שימוש בביצוע עבירות אלימות לסוגיהן</w:t>
      </w:r>
      <w:r>
        <w:rPr>
          <w:rFonts w:eastAsia="Calibri" w:cs="Miriam" w:ascii="Miriam" w:hAnsi="Miriam"/>
          <w:bCs/>
          <w:rtl w:val="true"/>
        </w:rPr>
        <w:t>"</w:t>
      </w:r>
      <w:r>
        <w:rPr>
          <w:rFonts w:eastAsia="Calibri" w:cs="Miriam" w:ascii="Miriam" w:hAnsi="Miriam"/>
          <w:rtl w:val="true"/>
        </w:rPr>
        <w:t>(</w:t>
      </w:r>
      <w:r>
        <w:rPr>
          <w:rFonts w:ascii="David" w:hAnsi="David" w:eastAsia="Calibri"/>
          <w:rtl w:val="true"/>
        </w:rPr>
        <w:t>ההדגשה אינה במקור</w:t>
      </w:r>
      <w:r>
        <w:rPr>
          <w:rFonts w:eastAsia="Calibri" w:cs="Miriam" w:ascii="Miriam" w:hAnsi="Miriam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Calibri" w:hAnsi="Calibri" w:eastAsia="Calibri" w:cs="Calibri"/>
          <w:rtl w:val="true"/>
        </w:rPr>
        <w:t xml:space="preserve">על מנת לשרטט כדבעי את מתחם העונש ההולם בעניינו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עיינתי בפסיקה רחבה העוסקת בעבירת החזקת נשק והפרעה לשוטרים במילוי תפקידם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rtl w:val="true"/>
        </w:rPr>
        <w:t>נמצאתי למד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בשנים האחרונות חלה אט אט מגמת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הבאה לידי ביטוי בפסיקת הערכאות השונות הנוגעת לעבירה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Calibri" w:hAnsi="Calibri" w:eastAsia="Calibri" w:cs="Calibri"/>
          <w:rtl w:val="true"/>
        </w:rPr>
        <w:t xml:space="preserve">משקל ניכר בקביעת העונש בעבירות של החזקת נשק יש לתלות </w:t>
      </w:r>
      <w:r>
        <w:rPr>
          <w:rFonts w:ascii="Calibri" w:hAnsi="Calibri" w:eastAsia="Calibri" w:cs="Calibri"/>
          <w:b/>
          <w:b/>
          <w:bCs/>
          <w:rtl w:val="true"/>
        </w:rPr>
        <w:t>באופי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קטלניותו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בכמות הנשקים המוחזקים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בתחמושת שנתפסה לצדו וכיוצ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למעשה</w:t>
      </w:r>
      <w:r>
        <w:rPr>
          <w:rFonts w:eastAsia="Calibri" w:cs="Calibri" w:ascii="Calibri" w:hAnsi="Calibri"/>
          <w:rtl w:val="true"/>
        </w:rPr>
        <w:t>, "</w:t>
      </w:r>
      <w:r>
        <w:rPr>
          <w:rFonts w:ascii="Calibri Light" w:hAnsi="Calibri Light" w:eastAsia="Calibri" w:cs="Times New Roman"/>
          <w:rtl w:val="true"/>
        </w:rPr>
        <w:t>כבכל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קיים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מדרג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חומרה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ושומה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להביאו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בחשבון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בבואו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לקבוע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העונש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ההולם</w:t>
      </w:r>
      <w:r>
        <w:rPr>
          <w:rFonts w:eastAsia="Calibri" w:cs="Miriam" w:ascii="Calibri" w:hAnsi="Calibri"/>
          <w:rtl w:val="true"/>
        </w:rPr>
        <w:t>"</w:t>
      </w:r>
      <w:r>
        <w:rPr>
          <w:rFonts w:eastAsia="Calibri" w:cs="David" w:ascii="David" w:hAnsi="David"/>
          <w:rtl w:val="true"/>
        </w:rPr>
        <w:t>(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9702/16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אלוליאיה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13.9.17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ראו בנוסף לעניין זה</w:t>
      </w:r>
      <w:r>
        <w:rPr>
          <w:rFonts w:eastAsia="Calibri" w:cs="Calibri" w:ascii="Calibri" w:hAnsi="Calibri"/>
          <w:rtl w:val="true"/>
        </w:rPr>
        <w:t xml:space="preserve">: 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4059/17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סלמה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24.4.18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Miriam" w:ascii="Calibri" w:hAnsi="Calibri"/>
          <w:rtl w:val="true"/>
        </w:rPr>
        <w:t xml:space="preserve">.  </w:t>
      </w: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במסגרתו של 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1806/22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נבארי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15.6.22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ascii="David" w:hAnsi="David" w:eastAsia="Calibri"/>
          <w:rtl w:val="true"/>
        </w:rPr>
        <w:t xml:space="preserve"> בגין החזקת אקדח חצי אוטומט טעון במחסנית וכדורים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במסגרתו של 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ב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54607-07-19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גבור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12.01.2020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b/>
          <w:b/>
          <w:bCs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החזקת רוס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ר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5646/15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תיהאווי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14.2.16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במסגרתו הושתו </w:t>
      </w: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לריצוי בפועל </w:t>
      </w:r>
      <w:r>
        <w:rPr>
          <w:rFonts w:ascii="David" w:hAnsi="David" w:eastAsia="Calibri"/>
          <w:rtl w:val="true"/>
        </w:rPr>
        <w:t>בגין החזקת אקדח טעון במחסנית ובה כדורים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במסגרתו של 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חניני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27.5.21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b/>
          <w:b/>
          <w:bCs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ascii="David" w:hAnsi="David" w:eastAsia="Calibri"/>
          <w:rtl w:val="true"/>
        </w:rPr>
        <w:t xml:space="preserve"> בגין החזקת אקדח אוויר שבוצעו בו שינויים וכדורים תואמים </w:t>
      </w:r>
      <w:r>
        <w:rPr>
          <w:rFonts w:eastAsia="Calibri" w:cs="David" w:ascii="David" w:hAnsi="David"/>
          <w:rtl w:val="true"/>
        </w:rPr>
        <w:t>{</w:t>
      </w:r>
      <w:r>
        <w:rPr>
          <w:rFonts w:ascii="David" w:hAnsi="David" w:eastAsia="Calibri"/>
          <w:rtl w:val="true"/>
        </w:rPr>
        <w:t>עוד ראו לעניין 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למשל </w:t>
      </w:r>
      <w:r>
        <w:rPr>
          <w:rFonts w:eastAsia="Calibri" w:cs="David" w:ascii="David" w:hAnsi="David"/>
          <w:rtl w:val="true"/>
        </w:rPr>
        <w:t xml:space="preserve">: 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9045/23</w:t>
        </w:r>
      </w:hyperlink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>אספור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21.3.24</w:t>
      </w:r>
      <w:r>
        <w:rPr>
          <w:rFonts w:eastAsia="Calibri" w:cs="David" w:ascii="David" w:hAnsi="David"/>
          <w:rtl w:val="true"/>
        </w:rPr>
        <w:t>}.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Fonts w:ascii="David" w:hAnsi="David"/>
          <w:u w:val="single"/>
          <w:rtl w:val="true"/>
        </w:rPr>
        <w:t>מדיניות הענישה הנוהגת לעבירות שעניינן נשיאה והובלה של נשק שלא כדין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 </w:t>
      </w:r>
      <w:r>
        <w:rPr/>
        <w:t>14.9.22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בין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עבירות אלו חמורות יותר מאלו הנדונות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כפי שהעיר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אכן יש בהתוויה עונשית זו אמת מידה יחסית בכל הנוגע </w:t>
      </w:r>
      <w:r>
        <w:rPr>
          <w:rFonts w:ascii="David" w:hAnsi="David"/>
          <w:u w:val="single"/>
          <w:rtl w:val="true"/>
        </w:rPr>
        <w:t>לעבירות החזקת 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-426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כאן המקום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בהקשרה של עבירת הנשק המיוחסת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הוחל לא מזמן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הוראה זו נכנסה לתוקפה ביום </w:t>
      </w:r>
      <w:r>
        <w:rPr>
          <w:rFonts w:eastAsia="Calibri" w:cs="David" w:ascii="David" w:hAnsi="David"/>
        </w:rPr>
        <w:t>8.12.21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שבמסגרתו 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בכל הנוגע לעבירות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הובלה או סחר בנשק שלא כדין </w:t>
      </w:r>
      <w:r>
        <w:rPr>
          <w:rFonts w:eastAsia="Calibri" w:cs="David" w:ascii="David" w:hAnsi="David"/>
          <w:rtl w:val="true"/>
        </w:rPr>
        <w:t>(</w:t>
      </w:r>
      <w:hyperlink r:id="rId35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בתיקון זה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"...</w:t>
      </w:r>
      <w:r>
        <w:rPr>
          <w:rFonts w:ascii="David" w:hAnsi="David" w:eastAsia="Calibri"/>
          <w:b/>
          <w:b/>
          <w:bCs/>
          <w:rtl w:val="true"/>
        </w:rPr>
        <w:t>לא יפחת עונשו מרבע העונש המרבי שנקבע לאותה עבירה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אלא אם כן החליט בית המשפט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מטעמים מיוחדים שיירשמו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להקל בעונשו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עונש מאסר לפי סעיף קטן זה לא יהיה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בהעדר טעמים מיוחדים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כולו על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ascii="David" w:hAnsi="David" w:eastAsia="Calibri"/>
          <w:b/>
          <w:b/>
          <w:bCs/>
          <w:rtl w:val="true"/>
        </w:rPr>
        <w:t>תנאי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בהקשר זה יש להזכיר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המרבי הקבוע לצדה של עבירת ההחזקה לפי </w:t>
      </w:r>
      <w:hyperlink r:id="rId36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עומד על שבע שנות מאסר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37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-426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>עובדות כתב האישום המתוקן מלמדות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עסקינן</w:t>
      </w:r>
      <w:r>
        <w:rPr>
          <w:rFonts w:ascii="Calibri" w:hAnsi="Calibri" w:eastAsia="Calibri" w:cs="Calibri"/>
          <w:rtl w:val="true"/>
        </w:rPr>
        <w:t xml:space="preserve"> בהחזקת אקדח מסוג </w:t>
      </w:r>
      <w:r>
        <w:rPr>
          <w:rFonts w:eastAsia="Calibri" w:cs="Calibri" w:ascii="Calibri" w:hAnsi="Calibri"/>
        </w:rPr>
        <w:t>Baretta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ובתוכו מחסנית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בנוסף להפרעה לשוטרים במילוי תפקידם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חלקו של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בהחזקת הנשק הנ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 הוא משמעותי ועיקרי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יכול והיה צריך לשלוט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אין בנמצא כל סייג לאחריות פלילית בהקשר זה הנזקף להגנתו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עלול היה להיגרם נזק נוסף כפועל יוצא משימוש שלא כדין בנשק לצרכים פליליים או אחרים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color w:val="FF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למרבה המזל תפיסתו של הנשק מנעה זאת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הסיבות שהביאו את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לביצוע עבירות אלו נותרו עלומות ולא הובהרו דיין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לאור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מתחם ענישה בעניינו של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אשר נע בין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לבחון מהו העונש המתאים לנאשם בשים לב </w:t>
      </w:r>
      <w:r>
        <w:rPr>
          <w:rFonts w:ascii="David" w:hAnsi="David"/>
          <w:b/>
          <w:b/>
          <w:bCs/>
          <w:rtl w:val="true"/>
        </w:rPr>
        <w:t>לנסיבות שאינן קשורות בביצוע העבירה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יש לזקוף לזכותו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</w:t>
      </w:r>
      <w:r>
        <w:rPr>
          <w:rFonts w:ascii="David" w:hAnsi="David" w:eastAsia="Calibri"/>
          <w:b/>
          <w:b/>
          <w:bCs/>
          <w:rtl w:val="true"/>
        </w:rPr>
        <w:t>החיסכון המשמעותי בזמן שיפוטי יקר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הנגזר מהודאתו ומנטילת האחריות שביצע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עונש מאסר ממושך יפגע בנאשם ובאמו החולה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rtl w:val="true"/>
        </w:rPr>
        <w:t>אזכיר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הופק תסקיר לעניין העונש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במובן זה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קיימת בנמצא המלצה שיקומית בעניינו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נעדר עבר פלילי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סברתי כי בהחלט יש מקום להכליל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3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לציבור הרחב שהתנהגות דומה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ששקלתי את כל השיקולים הדרושים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מצאתי לנכון להטיל על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 מיום מעצרו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 w:before="0" w:after="200"/>
        <w:ind w:start="11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 מצאתי נוכח </w:t>
      </w:r>
      <w:r>
        <w:rPr>
          <w:rFonts w:ascii="David" w:hAnsi="David"/>
          <w:rtl w:val="true"/>
        </w:rPr>
        <w:t>נסיבותיו האישיות</w:t>
      </w:r>
      <w:r>
        <w:rPr>
          <w:rFonts w:ascii="David" w:hAnsi="David"/>
          <w:rtl w:val="true"/>
        </w:rPr>
        <w:t xml:space="preserve"> להשית על נאשם זה 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אפנה כעת לדון </w:t>
      </w:r>
      <w:r>
        <w:rPr>
          <w:rFonts w:ascii="David" w:hAnsi="David"/>
          <w:b/>
          <w:b/>
          <w:bCs/>
          <w:rtl w:val="true"/>
        </w:rPr>
        <w:t>בעניינו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-284"/>
        <w:jc w:val="start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אזכיר לקורא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נאשם זה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בניגוד 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הורשע </w:t>
      </w:r>
      <w:r>
        <w:rPr>
          <w:rFonts w:ascii="Calibri" w:hAnsi="Calibri" w:eastAsia="Calibri" w:cs="Calibri"/>
          <w:rtl w:val="true"/>
        </w:rPr>
        <w:t xml:space="preserve">בעבירה שעניינה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סיוע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להחזקת נשק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43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hyperlink r:id="rId44">
        <w:r>
          <w:rPr>
            <w:rStyle w:val="Hyperlink"/>
            <w:rFonts w:eastAsia="Calibri" w:cs="Calibri" w:ascii="Calibri" w:hAnsi="Calibri"/>
            <w:color w:val="0000FF"/>
          </w:rPr>
          <w:t>31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4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בנוסף לעבירה שעניינה </w:t>
      </w:r>
      <w:r>
        <w:rPr>
          <w:rFonts w:ascii="David" w:hAnsi="David" w:eastAsia="Calibri"/>
          <w:b/>
          <w:b/>
          <w:bCs/>
          <w:rtl w:val="true"/>
        </w:rPr>
        <w:t>הפרעה לשוטר במילוי תפקיד</w:t>
      </w:r>
      <w:r>
        <w:rPr>
          <w:rFonts w:ascii="David" w:hAnsi="David" w:eastAsia="Calibri"/>
          <w:rtl w:val="true"/>
        </w:rPr>
        <w:t xml:space="preserve"> לפי </w:t>
      </w:r>
      <w:hyperlink r:id="rId46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275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ככלל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בהתאם ל</w:t>
      </w:r>
      <w:hyperlink r:id="rId4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העונש על סיוע עומד על מחצית הענישה הנוגעת לעבירה העיקרית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בעוד כאשר עסקינן בעונש מזערי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העונש לא יפחת ממחציתו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ראו </w:t>
      </w:r>
      <w:hyperlink r:id="rId48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32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eastAsia="Calibri" w:cs="Calibri" w:ascii="Calibri" w:hAnsi="Calibri"/>
            <w:color w:val="0000FF"/>
          </w:rPr>
          <w:t>3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 xml:space="preserve">בכל הנוגע לערכים החברתיים המוגנים שנפגעו כפועל יוצא ממעשיו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שגם בעניינו הדברים מובנים מאליהם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המסייע להחזיק נשק בלא רשות על פי דין והמפריע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 ובמנגנוני שלטונה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בשלום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פוגע בביטחון הציבור </w:t>
      </w:r>
      <w:r>
        <w:rPr>
          <w:rFonts w:ascii="David" w:hAnsi="David" w:eastAsia="Calibri"/>
          <w:b/>
          <w:b/>
          <w:bCs/>
          <w:rtl w:val="true"/>
        </w:rPr>
        <w:t>וחושף אותו לאירועי טרור עוין כמו גם פלילי המבוצעים באמצעות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המוחזק והמושג שלא כחוק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הפגיעה בערכים אלו במקרה זה היא ממשית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ברי כי זו פחותה ורחוקה יותר מעניינו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מבצעה העיקרי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 xml:space="preserve">את מדיניות הענישה הנוגעת לביצועה של העבירה העיקרית סקרתי בעניינו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מצאתי כי קיים צורך לסוקרה פעם נוספת 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ממדינות הענישה לעיל ניתן לגזור מהו העונש הנוהג גם בעניינו של מי שמסייע למבצע העיקרי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יש לעשות כן גם מתוך התחשבות בעקרון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אחידות הענישה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u w:val="single"/>
          <w:rtl w:val="true"/>
        </w:rPr>
        <w:t>אך תוך עשיית ההבחנות הנדרשות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בהקשר זה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49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200"/>
        <w:ind w:end="-426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עסקינן </w:t>
      </w:r>
      <w:r>
        <w:rPr>
          <w:rFonts w:ascii="Calibri" w:hAnsi="Calibri" w:eastAsia="Calibri" w:cs="Calibri"/>
          <w:rtl w:val="true"/>
        </w:rPr>
        <w:t xml:space="preserve">בהחזקת אקדח מסוג </w:t>
      </w:r>
      <w:r>
        <w:rPr>
          <w:rFonts w:eastAsia="Calibri" w:cs="Calibri" w:ascii="Calibri" w:hAnsi="Calibri"/>
        </w:rPr>
        <w:t>Baretta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ובתוכו מחסנית</w:t>
      </w:r>
      <w:r>
        <w:rPr>
          <w:rFonts w:eastAsia="Calibri" w:cs="Calibri" w:ascii="Calibri" w:hAnsi="Calibri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חלקו של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בביצוע עבירת ההחזקה אינו העיקרי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שכן עסקינן בסיוע </w:t>
      </w:r>
      <w:r>
        <w:rPr>
          <w:rFonts w:ascii="David" w:hAnsi="David" w:eastAsia="Calibri"/>
          <w:b/>
          <w:b/>
          <w:bCs/>
          <w:u w:val="single"/>
          <w:rtl w:val="true"/>
        </w:rPr>
        <w:t>להחזקת הנשק</w:t>
      </w:r>
      <w:r>
        <w:rPr>
          <w:rFonts w:ascii="David" w:hAnsi="David" w:eastAsia="Calibri"/>
          <w:b/>
          <w:b/>
          <w:bCs/>
          <w:rtl w:val="true"/>
        </w:rPr>
        <w:t xml:space="preserve"> הנ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כזה המצוי מחוץ למעגל העיקרי של ביצועה עבירת ההחזקה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בהתאם לעובדות 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הרי שנאשם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עשה מעשים כדי לאפשר את החזקת הנשק ולהקל עליה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כמו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נאשם זה הפריע לשוטרים במילוי תפקידם עת החל בנסיעה ברכב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rtl w:val="true"/>
        </w:rPr>
        <w:t>מכל מקום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היה צריך לשלוט על מעשיו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אין בנמצא כל סייג לאחריות פלילית בהקשר זה הנזקף לזכותו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עלול היה להיגרם נזק נוסף מן הסיוע לעבירה העיקרית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וחלילה הנשק היה משמש לצרכים פליליים או אחרים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color w:val="FF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למרבה המזל תפיסתו של הנשק מנעה זאת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הסיבות שהביאו את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לביצוע הסיוע נותרו עלומות ולא הובהרו דיין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לאור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מתחם ענישה בעניינו של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אשר נע בין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426"/>
        <w:jc w:val="both"/>
        <w:rPr/>
      </w:pPr>
      <w:r>
        <w:rPr>
          <w:rFonts w:ascii="David" w:hAnsi="David" w:eastAsia="Calibri"/>
          <w:rtl w:val="true"/>
        </w:rPr>
        <w:t xml:space="preserve">יש לזקוף לזכותו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</w:t>
      </w:r>
      <w:r>
        <w:rPr>
          <w:rFonts w:ascii="David" w:hAnsi="David" w:eastAsia="Calibri"/>
          <w:b/>
          <w:b/>
          <w:bCs/>
          <w:rtl w:val="true"/>
        </w:rPr>
        <w:t>החיסכון המשמעותי בזמן שיפוטי יקר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הנגזר מהודאתו ומנטילת האחריות שביצע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עונש מאסר ממושך יפגע בנאשם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נוכח גילו היחסית צעיר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בעניינו של הנאשם לא הופק תסקיר לעניין העונש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במובן זה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קיימת המלצה שיקומית בעניינו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נעדר עבר פלילי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סברתי כי בהחלט יש מקום לשכלל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5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לציבור הרחב שגם סיוע להתנהגות דומה ומסוכנת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ששקלתי את כל השיקולים הדרושים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הכוללים את הימצאותו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תחת איזוק אלקטרוני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להשית עליו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 בניכוי ימי מעצרו הממשיים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שחרור רכב הט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יוטה שנתפס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יפקיד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סכום של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לשם חילוטם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להנחיות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כתנאי לשחרור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מצאתי נוכח עניין זה להשית על נאשם זה קנס כספי נוסף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הנשק והאביזרים יושמדו 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זכות ערעור כחוק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8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8"/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tblpPr w:vertAnchor="text" w:horzAnchor="margin" w:tblpXSpec="left" w:rightFromText="180" w:tblpY="3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eastAsia="he-IL"/>
              </w:rPr>
              <w:t>54678313</w:t>
            </w:r>
          </w:p>
        </w:tc>
      </w:tr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4459-03-24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עצור</w:t>
    </w:r>
    <w:r>
      <w:rPr>
        <w:rFonts w:cs="David" w:ascii="David" w:hAnsi="David"/>
        <w:color w:val="000000"/>
        <w:sz w:val="22"/>
        <w:szCs w:val="22"/>
        <w:rtl w:val="true"/>
      </w:rPr>
      <w:t>/</w:t>
    </w:r>
    <w:r>
      <w:rPr>
        <w:rFonts w:ascii="David" w:hAnsi="David"/>
        <w:color w:val="000000"/>
        <w:sz w:val="22"/>
        <w:sz w:val="22"/>
        <w:szCs w:val="22"/>
        <w:rtl w:val="true"/>
      </w:rPr>
      <w:t>אסיר בפיקוח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543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543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.3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0301/40jc.c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case/28384637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13093721" TargetMode="External"/><Relationship Id="rId23" Type="http://schemas.openxmlformats.org/officeDocument/2006/relationships/hyperlink" Target="http://www.nevo.co.il/case/5576587" TargetMode="External"/><Relationship Id="rId24" Type="http://schemas.openxmlformats.org/officeDocument/2006/relationships/hyperlink" Target="http://www.nevo.co.il/law/70301/40jc.a" TargetMode="External"/><Relationship Id="rId25" Type="http://schemas.openxmlformats.org/officeDocument/2006/relationships/hyperlink" Target="http://www.nevo.co.il/law/70301/40jc.c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1771409" TargetMode="External"/><Relationship Id="rId28" Type="http://schemas.openxmlformats.org/officeDocument/2006/relationships/hyperlink" Target="http://www.nevo.co.il/case/22690203" TargetMode="External"/><Relationship Id="rId29" Type="http://schemas.openxmlformats.org/officeDocument/2006/relationships/hyperlink" Target="http://www.nevo.co.il/case/28400048" TargetMode="External"/><Relationship Id="rId30" Type="http://schemas.openxmlformats.org/officeDocument/2006/relationships/hyperlink" Target="http://www.nevo.co.il/case/25890687" TargetMode="External"/><Relationship Id="rId31" Type="http://schemas.openxmlformats.org/officeDocument/2006/relationships/hyperlink" Target="http://www.nevo.co.il/case/20531134" TargetMode="External"/><Relationship Id="rId32" Type="http://schemas.openxmlformats.org/officeDocument/2006/relationships/hyperlink" Target="http://www.nevo.co.il/case/27502726" TargetMode="External"/><Relationship Id="rId33" Type="http://schemas.openxmlformats.org/officeDocument/2006/relationships/hyperlink" Target="http://www.nevo.co.il/case/30296683" TargetMode="External"/><Relationship Id="rId34" Type="http://schemas.openxmlformats.org/officeDocument/2006/relationships/hyperlink" Target="http://www.nevo.co.il/case/28883087" TargetMode="External"/><Relationship Id="rId35" Type="http://schemas.openxmlformats.org/officeDocument/2006/relationships/hyperlink" Target="http://www.nevo.co.il/law/70301/144.g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/40g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/275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3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275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2.3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/40g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75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2024-09-16T06:41:00Z</dcterms:created>
  <dc:creator> </dc:creator>
  <dc:description/>
  <cp:keywords/>
  <dc:language>en-IL</dc:language>
  <cp:lastModifiedBy>h1</cp:lastModifiedBy>
  <dcterms:modified xsi:type="dcterms:W3CDTF">2024-09-16T06:41:00Z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מחאג'נה;מוחמד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ProcID=158&amp;PartA=443&amp;PartB=66&amp;PartC=40</vt:lpwstr>
  </property>
  <property fmtid="{D5CDD505-2E9C-101B-9397-08002B2CF9AE}" pid="9" name="CASESLISTTMP1">
    <vt:lpwstr>28384637;25824863:2;13093721;5576587;21771409;22690203;28400048;25890687;20531134;27502726;30296683;28883087</vt:lpwstr>
  </property>
  <property fmtid="{D5CDD505-2E9C-101B-9397-08002B2CF9AE}" pid="10" name="CITY">
    <vt:lpwstr>חי'</vt:lpwstr>
  </property>
  <property fmtid="{D5CDD505-2E9C-101B-9397-08002B2CF9AE}" pid="11" name="DATE">
    <vt:lpwstr>20240912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אבי לוי</vt:lpwstr>
  </property>
  <property fmtid="{D5CDD505-2E9C-101B-9397-08002B2CF9AE}" pid="15" name="LAWLISTTMP1">
    <vt:lpwstr>70301/144.a:4;031:2;275:5;40jc.a;40jc.c;144.g;040i:2;040g:2;144:3;032.3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4459</vt:lpwstr>
  </property>
  <property fmtid="{D5CDD505-2E9C-101B-9397-08002B2CF9AE}" pid="23" name="NEWPARTB">
    <vt:lpwstr>03</vt:lpwstr>
  </property>
  <property fmtid="{D5CDD505-2E9C-101B-9397-08002B2CF9AE}" pid="24" name="NEWPARTC">
    <vt:lpwstr>24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390020240912</vt:lpwstr>
  </property>
  <property fmtid="{D5CDD505-2E9C-101B-9397-08002B2CF9AE}" pid="35" name="TYPE_N_DATE">
    <vt:lpwstr>39020240912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