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1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31"/>
        <w:gridCol w:w="3862"/>
        <w:gridCol w:w="1"/>
      </w:tblGrid>
      <w:tr>
        <w:trPr>
          <w:trHeight w:val="494" w:hRule="exact"/>
        </w:trPr>
        <w:tc>
          <w:tcPr>
            <w:tcW w:w="9194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99" w:hRule="atLeast"/>
        </w:trPr>
        <w:tc>
          <w:tcPr>
            <w:tcW w:w="53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44812-06-13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דהן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ואח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8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סגנית נשיא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גלעד ארליך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יוסף דהן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יד סעיד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מוחמד סעיד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זאב אלוני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End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auto" w:line="360" w:before="240" w:after="200"/>
        <w:ind w:start="-58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 דין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 בעניינו של נאשם </w:t>
      </w:r>
      <w:r>
        <w:rPr>
          <w:rFonts w:cs="Arial" w:ascii="Arial" w:hAnsi="Arial"/>
          <w:b/>
          <w:bCs/>
          <w:sz w:val="32"/>
          <w:szCs w:val="32"/>
        </w:rPr>
        <w:t>3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9" w:name="ABSTRACT_START"/>
      <w:bookmarkStart w:id="10" w:name="LawTable_End"/>
      <w:bookmarkEnd w:id="9"/>
      <w:bookmarkEnd w:id="10"/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bookmarkStart w:id="11" w:name="ABSTRACT_END"/>
      <w:bookmarkEnd w:id="11"/>
      <w:r>
        <w:rPr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רלבנטי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בחלק הכללי שבכתב האישום המתוקן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מתוארים סוכנים מטעם המשטרה שגויסו לביצוע עסקאות סמים </w:t>
      </w:r>
      <w:r>
        <w:rPr>
          <w:rFonts w:ascii="Arial" w:hAnsi="Arial"/>
          <w:sz w:val="24"/>
          <w:sz w:val="24"/>
          <w:szCs w:val="24"/>
          <w:rtl w:val="true"/>
        </w:rPr>
        <w:t>לשם</w:t>
      </w:r>
      <w:r>
        <w:rPr>
          <w:rFonts w:ascii="Arial" w:hAnsi="Arial"/>
          <w:sz w:val="24"/>
          <w:sz w:val="24"/>
          <w:szCs w:val="24"/>
          <w:rtl w:val="true"/>
        </w:rPr>
        <w:t xml:space="preserve"> לכ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ד</w:t>
      </w:r>
      <w:r>
        <w:rPr>
          <w:rFonts w:ascii="Arial" w:hAnsi="Arial"/>
          <w:sz w:val="24"/>
          <w:sz w:val="24"/>
          <w:szCs w:val="24"/>
          <w:rtl w:val="true"/>
        </w:rPr>
        <w:t>ת</w:t>
      </w:r>
      <w:r>
        <w:rPr>
          <w:rFonts w:ascii="Arial" w:hAnsi="Arial"/>
          <w:sz w:val="24"/>
          <w:sz w:val="24"/>
          <w:szCs w:val="24"/>
          <w:rtl w:val="true"/>
        </w:rPr>
        <w:t xml:space="preserve"> סוחרי סמים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האחד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סוכן 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/>
          <w:sz w:val="24"/>
          <w:sz w:val="24"/>
          <w:szCs w:val="24"/>
          <w:rtl w:val="true"/>
        </w:rPr>
        <w:t xml:space="preserve">שוטר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 xml:space="preserve">המכונה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יוסי</w:t>
      </w:r>
      <w:r>
        <w:rPr>
          <w:rFonts w:cs="Arial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/>
          <w:sz w:val="24"/>
          <w:sz w:val="24"/>
          <w:szCs w:val="24"/>
          <w:rtl w:val="true"/>
        </w:rPr>
        <w:t xml:space="preserve">והשני </w:t>
      </w:r>
      <w:r>
        <w:rPr>
          <w:rFonts w:ascii="Arial" w:hAnsi="Arial"/>
          <w:sz w:val="24"/>
          <w:sz w:val="24"/>
          <w:szCs w:val="24"/>
          <w:rtl w:val="true"/>
        </w:rPr>
        <w:t>סוכן</w:t>
      </w:r>
      <w:r>
        <w:rPr>
          <w:rFonts w:ascii="Arial" w:hAnsi="Arial"/>
          <w:sz w:val="24"/>
          <w:sz w:val="24"/>
          <w:szCs w:val="24"/>
          <w:rtl w:val="true"/>
        </w:rPr>
        <w:t xml:space="preserve"> סמוי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הסוכן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 xml:space="preserve">השניים יחדיו יכונו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הסוכנים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השלישי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עובר ליום </w:t>
      </w:r>
      <w:r>
        <w:rPr>
          <w:rFonts w:cs="Arial" w:ascii="Arial" w:hAnsi="Arial"/>
          <w:sz w:val="24"/>
          <w:szCs w:val="24"/>
        </w:rPr>
        <w:t>6.3.13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נוהל משא ומתן בין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לסוכן לרכישת אמל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בעקבותיו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פנה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בבקשה שיספק לו רובה מסוג </w:t>
      </w:r>
      <w:r>
        <w:rPr>
          <w:rFonts w:cs="Arial" w:ascii="Arial" w:hAnsi="Arial"/>
          <w:sz w:val="24"/>
          <w:szCs w:val="24"/>
        </w:rPr>
        <w:t>16</w:t>
      </w:r>
      <w:r>
        <w:rPr>
          <w:rFonts w:cs="Arial" w:ascii="Arial" w:hAnsi="Arial"/>
          <w:sz w:val="24"/>
          <w:szCs w:val="24"/>
        </w:rPr>
        <w:t>M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/>
          <w:b/>
          <w:b/>
          <w:bCs/>
          <w:rtl w:val="true"/>
        </w:rPr>
        <w:t>הרובה</w:t>
      </w:r>
      <w:r>
        <w:rPr>
          <w:rFonts w:cs="Arial" w:ascii="Arial" w:hAnsi="Arial"/>
          <w:rtl w:val="true"/>
        </w:rPr>
        <w:t xml:space="preserve">").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ביכולתו</w:t>
      </w:r>
      <w:r>
        <w:rPr>
          <w:rFonts w:ascii="Arial" w:hAnsi="Arial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המבוקש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24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בתאריך </w:t>
      </w:r>
      <w:r>
        <w:rPr>
          <w:rFonts w:cs="Arial" w:ascii="Arial" w:hAnsi="Arial"/>
          <w:sz w:val="24"/>
          <w:szCs w:val="24"/>
        </w:rPr>
        <w:t>6.3.13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סמוך לשעה </w:t>
      </w:r>
      <w:r>
        <w:rPr>
          <w:rFonts w:cs="Arial" w:ascii="Arial" w:hAnsi="Arial"/>
          <w:sz w:val="24"/>
          <w:szCs w:val="24"/>
        </w:rPr>
        <w:t>15:00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אספו הסוכנים את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מביתו ויחדיו נסעו לבית קפה בכפר סבא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שם דיווח להם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תאום העסקה לרכישת הרובה והוסיף כי עליהם להמתין לבוא חברו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שמואל חלצי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שמואל</w:t>
      </w:r>
      <w:r>
        <w:rPr>
          <w:rFonts w:cs="Arial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/>
          <w:sz w:val="24"/>
          <w:sz w:val="24"/>
          <w:szCs w:val="24"/>
          <w:rtl w:val="true"/>
        </w:rPr>
        <w:t>לשם ביצוע העסקה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הורה לסוכן 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ארגן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תשלום עבור הרובה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משהגיע שמואל למקום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נסעו השניים לבית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שם סיכמו עמו – ללא נוכחות הנאשם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כי ה</w:t>
      </w:r>
      <w:r>
        <w:rPr>
          <w:rFonts w:ascii="Arial" w:hAnsi="Arial"/>
          <w:sz w:val="24"/>
          <w:sz w:val="24"/>
          <w:szCs w:val="24"/>
          <w:rtl w:val="true"/>
        </w:rPr>
        <w:t>נ</w:t>
      </w:r>
      <w:r>
        <w:rPr>
          <w:rFonts w:ascii="Arial" w:hAnsi="Arial"/>
          <w:sz w:val="24"/>
          <w:sz w:val="24"/>
          <w:szCs w:val="24"/>
          <w:rtl w:val="true"/>
        </w:rPr>
        <w:t>א</w:t>
      </w:r>
      <w:r>
        <w:rPr>
          <w:rFonts w:ascii="Arial" w:hAnsi="Arial"/>
          <w:sz w:val="24"/>
          <w:sz w:val="24"/>
          <w:szCs w:val="24"/>
          <w:rtl w:val="true"/>
        </w:rPr>
        <w:t>שם</w:t>
      </w:r>
      <w:r>
        <w:rPr>
          <w:rFonts w:ascii="Arial" w:hAnsi="Arial"/>
          <w:sz w:val="24"/>
          <w:sz w:val="24"/>
          <w:szCs w:val="24"/>
          <w:rtl w:val="true"/>
        </w:rPr>
        <w:t xml:space="preserve"> יוביל את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למקום בו תבוצע עסקת הנשק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נפגשו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שמואל והסוכן בתחנת דלק במחלף באקה אל גרביה וזמן קצר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הגיע למקום הנאשם ברכב שהיה נהוג בידי אחר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בשיחה בין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סוכם כי העסקה תתבצע בכפר ברטעה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הוביל הנאשם את שיירת כלי הרכב לכפר ברטעה כמוסכם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בכניסה לכפר ניגש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לרכבם של הסוכנים וקיבל מידי הסוכן סכום של </w:t>
      </w:r>
      <w:r>
        <w:rPr>
          <w:rFonts w:cs="Arial" w:ascii="Arial" w:hAnsi="Arial"/>
          <w:sz w:val="24"/>
          <w:szCs w:val="24"/>
        </w:rPr>
        <w:t>45,000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>עבור הרובה הנרכש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דקות ספורות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הגיעה למקום מכונית ובה אדם שזהותו אינה ידועה ונעצרה בסמוך למכוניתו של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שהורה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להתקרב אליו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דקות ספורות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פנה הנאשם לסוכן ומסר לידיו שקית ובה תחמושת לרובה וכן ביקש מיוסי לקרב את מכוניתו למכונית שהגיעה למקום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>נהגה מסר לידי הנאשם רובה עטוף במגבת שהועבר על ידו ליוסי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בתום העסקה ליווה הנאשם את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ואת הסוכנים בנסיעה עד לצומת ברקאי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אז נפרדו דרכיהם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עפ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י הסדר הטיעון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הוגש תסקיר מבחן אודות הנאשם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אין הסכמה לעניין העונש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על הנאשם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רווק בן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נעדר עבר פלילי ומתגורר בבית אמו בבאקה אל גרביה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סיים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לימוד עם בגרות חלקית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עובד בעסק לשטיפת מכוניות ומסייע בכלכלת משפחתו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שהה במעצר כ –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חודשים ומזה כשנה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מצוי </w:t>
      </w:r>
      <w:r>
        <w:rPr>
          <w:rFonts w:ascii="Arial" w:hAnsi="Arial"/>
          <w:sz w:val="24"/>
          <w:sz w:val="24"/>
          <w:szCs w:val="24"/>
          <w:rtl w:val="true"/>
        </w:rPr>
        <w:t>במעצר בית שתנאיו הוקלו מעת לעת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כיום יוצא לעבודה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אמו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אלמנה הסובלת מבעיות בריאותיות ולו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אחים נוספים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האחד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>)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מרצה עונש מאסר בן </w:t>
      </w:r>
      <w:r>
        <w:rPr>
          <w:rFonts w:cs="Arial" w:ascii="Arial" w:hAnsi="Arial"/>
          <w:sz w:val="24"/>
          <w:szCs w:val="24"/>
        </w:rPr>
        <w:t>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שנים בגין ביצוע עבירות סחר בנשק וסמים </w:t>
      </w:r>
      <w:r>
        <w:rPr>
          <w:rFonts w:ascii="Arial" w:hAnsi="Arial"/>
          <w:sz w:val="24"/>
          <w:sz w:val="24"/>
          <w:szCs w:val="24"/>
          <w:rtl w:val="true"/>
        </w:rPr>
        <w:t>ושלושה אחים נוספים המנהלים אורח חיים נורמטיבי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אח נוסף</w:t>
      </w:r>
      <w:r>
        <w:rPr>
          <w:rFonts w:ascii="Arial" w:hAnsi="Arial"/>
          <w:sz w:val="24"/>
          <w:sz w:val="24"/>
          <w:szCs w:val="24"/>
          <w:rtl w:val="true"/>
        </w:rPr>
        <w:t xml:space="preserve"> נרצח לפני כשנתיים על רקע פלילי ואח </w:t>
      </w:r>
      <w:r>
        <w:rPr>
          <w:rFonts w:ascii="Arial" w:hAnsi="Arial"/>
          <w:sz w:val="24"/>
          <w:sz w:val="24"/>
          <w:szCs w:val="24"/>
          <w:rtl w:val="true"/>
        </w:rPr>
        <w:t>אחר</w:t>
      </w:r>
      <w:r>
        <w:rPr>
          <w:rFonts w:ascii="Arial" w:hAnsi="Arial"/>
          <w:sz w:val="24"/>
          <w:sz w:val="24"/>
          <w:szCs w:val="24"/>
          <w:rtl w:val="true"/>
        </w:rPr>
        <w:t xml:space="preserve"> נהרג לפני מספר שנים בתאונת עבודה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אביו אף הוא נרצח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בשנת </w:t>
      </w:r>
      <w:r>
        <w:rPr>
          <w:rFonts w:cs="Arial" w:ascii="Arial" w:hAnsi="Arial"/>
          <w:sz w:val="24"/>
          <w:szCs w:val="24"/>
        </w:rPr>
        <w:t>2000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 xml:space="preserve">היותו בן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על רקע חשד לשיתוף פעולה עם גורמי הביטחון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גדל באווירה קשה ורווית מתח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טרם הירצחו של אביו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התגוררה משפחתו בכפר אחר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תושביו התנכלו למשפחה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שרפו את ביתה וגירשוה מהכפר – על רקע חשדות תושבי הכפר כלפי האב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המשפחה שבה לכפר כאשר היה הנאשם בן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אז נרצח אביו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הסתבך אחיו בפלילים ונרצח אף הוא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מנהל אורח חיים נורמטיבי ונעדר קשרים עברייניים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בפני שרות המבחן הוא שלל היכרות מוקדמת עם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ביום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כאשר היה בדרכו מהעבודה לביתו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התקשר אליו אחיו אשר היה נתון אותה עת במעצר בית וביקשו לסייע לו בהדרכת </w:t>
      </w:r>
      <w:r>
        <w:rPr>
          <w:rFonts w:ascii="Arial" w:hAnsi="Arial"/>
          <w:sz w:val="24"/>
          <w:sz w:val="24"/>
          <w:szCs w:val="24"/>
          <w:rtl w:val="true"/>
        </w:rPr>
        <w:t>ה</w:t>
      </w:r>
      <w:r>
        <w:rPr>
          <w:rFonts w:ascii="Arial" w:hAnsi="Arial"/>
          <w:sz w:val="24"/>
          <w:sz w:val="24"/>
          <w:szCs w:val="24"/>
          <w:rtl w:val="true"/>
        </w:rPr>
        <w:t>אחרים להגיע לכפר ברטעה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סבר כי המדובר באנשים שבקשו לתקן את רכביהם במוסך המוכר לאחיו ועל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נעתר לבקשתו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בסוגיית מודעותו למעשה הפלילי שביצע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גרס תחילה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לראשונה התחוור לו שמדובר בעסקת נשק כאשר הגיע למקום העבירה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 שינה את טעמו ואישר כי כבר בכניסה לכפר ברטעה התקשר אליו אחיו והודיעו במה דברים אמורים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לקח אחריות על מעשיו והודה כי לבקשת אחיו הוא נטל חלק בעסקת הנשק בכך שהעביר רובה ותחמושת מרכב אחד למשנהו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ביטא רגשות 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בושה וחרטה על מעשהו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להתרשמות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הנתמכת בדבריו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בבסיס הסתבכותו מצוי קושי בהצבת גבולות ורצון לרצות ולזכות בקבלה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מהטעם הזה התקשה לסרב לבקשת אחיו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 הכבוד שרחש לאח ביטא הנאשם כעס ותסכול כלפיו והשליך לפתחו את האחריות להסתבכותו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מעתה הוא מתכוון להתנתק מעמו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התרשם מצעיר שהתנהלותו נורמטיבית ויציבה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דרך כלל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מגיל צעיר הוא נושא בעול פרנסת משפחתו והדבר מכביד עליו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עוד התרשם מאדם וורבאלי שמתבטא היטב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מודע לעצמו ולכוחותיו ושואף להמשיך ולנהל אורח חיים נורמטיבי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חרף הסביבה בה צמח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לא זיהה אצל הנאשם דפוסים עברייניים והעריך כי ברקע העבירה מצוי דימוי עצמי נמוך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חוסר יכולת להציב גבולות וקושי להעריך את תוצאות מעשיו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לאחר שחרורו מהמעצר שולב הנאשם בקבוצה טיפולית ונטל בה חלק אקטיבי תוך שיתוף בעולמו הפנימי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נמסר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במהלך הטיפול עבר שינוי וכיום מגלה תובנה לבעייתיות שבמצבו וזיהוי מוקדים המסכנים אותו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נכון לעת הזו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חווה </w:t>
      </w:r>
      <w:r>
        <w:rPr>
          <w:rFonts w:ascii="Arial" w:hAnsi="Arial"/>
          <w:sz w:val="24"/>
          <w:sz w:val="24"/>
          <w:szCs w:val="24"/>
          <w:rtl w:val="true"/>
        </w:rPr>
        <w:t>הנאשם שליטה רבה יותר על חייו והתנהלותו שקולה ומחושבת יותר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להערכת שרות המבחן חוויית המעצר חידדה עבורו את גבולות המותר והאסור וההליך המשפטי הציב בפניו גבול מרתיע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העריך כי הסיכון להישנות עבירות אלימות הוא נמוך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דרוש טיפול על מנת לשמרו ככזה לאורך זמן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המליץ להימנע מהטלת מאסר בפועל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בדרך של 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מחשש לפגיעה בתפקודו ובפרנסתו של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פגיעה בדימויו העצמי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הפגיע ממילא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מכאן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קצרה הדרך לדרדורו למסלול הפשע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שרות המבחן המליץ להטיל על הנאשם צו פיקוח למשך שנה וחצי אשר במהלכה ימשיך בהליך הטיפולי ויקבל כלים לחיזוק דימויו העצמי והבטחת המשך חייו הנורמטיביים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המליץ להטיל עליו צו 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צ בהיקף של </w:t>
      </w:r>
      <w:r>
        <w:rPr>
          <w:rFonts w:cs="Arial" w:ascii="Arial" w:hAnsi="Arial"/>
          <w:sz w:val="24"/>
          <w:szCs w:val="24"/>
        </w:rPr>
        <w:t>400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שעות כענישה הרתעתית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בשונה מעבודות שירות יאפשר לנאשם להמשיך בעבודתו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מר </w:t>
      </w:r>
      <w:r>
        <w:rPr>
          <w:sz w:val="24"/>
          <w:sz w:val="24"/>
          <w:szCs w:val="24"/>
          <w:rtl w:val="true"/>
        </w:rPr>
        <w:t>ירון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אטצקי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מעסיקו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לשטיפת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העיד</w:t>
      </w:r>
      <w:r>
        <w:rPr>
          <w:rFonts w:ascii="Arial" w:hAnsi="Arial"/>
          <w:sz w:val="24"/>
          <w:sz w:val="24"/>
          <w:szCs w:val="24"/>
          <w:rtl w:val="true"/>
        </w:rPr>
        <w:t xml:space="preserve"> להגנתו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המקפיד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אהוב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הלקוחות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הפתיעה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וחיובי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>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ולקבלו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ארליך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ונסיבותיה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הירתמות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16</w:t>
      </w:r>
      <w:r>
        <w:rPr>
          <w:sz w:val="24"/>
          <w:szCs w:val="24"/>
        </w:rPr>
        <w:t>M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שמוכר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שייעודו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אלמלא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לאובדן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ובלעדיו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הסוכנים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לסוכנים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מהירצחם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התייצבותו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לקריאותיו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והיענותו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לבקשותיו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/>
      </w:pPr>
      <w:r>
        <w:rPr>
          <w:sz w:val="24"/>
          <w:sz w:val="24"/>
          <w:szCs w:val="24"/>
          <w:rtl w:val="true"/>
        </w:rPr>
        <w:t>בהפנותו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לדידו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אכרם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יזם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בהעברתו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 w:val="24"/>
          <w:szCs w:val="24"/>
          <w:rtl w:val="true"/>
        </w:rPr>
        <w:t>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מגלה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באישיותו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שביטויה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>השלכת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</w:t>
      </w:r>
      <w:r>
        <w:rPr>
          <w:sz w:val="24"/>
          <w:sz w:val="24"/>
          <w:szCs w:val="24"/>
          <w:rtl w:val="true"/>
        </w:rPr>
        <w:t>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השתלבותו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 w:val="24"/>
          <w:szCs w:val="24"/>
          <w:rtl w:val="true"/>
        </w:rPr>
        <w:t>הצדיק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לקצין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שתיקתו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בחקירתו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לדח</w:t>
      </w:r>
      <w:r>
        <w:rPr>
          <w:sz w:val="24"/>
          <w:sz w:val="24"/>
          <w:szCs w:val="24"/>
          <w:rtl w:val="true"/>
        </w:rPr>
        <w:t>יי</w:t>
      </w:r>
      <w:r>
        <w:rPr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מפליגה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מאוזנת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שהציע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צ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/>
      </w:pP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אחת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סחר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בביצועה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מינורי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לעומת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חלקיהם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240" w:after="200"/>
        <w:ind w:start="509" w:end="0"/>
        <w:contextualSpacing w:val="false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שורבב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לביצועה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בגיבושה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בפרטיה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נקודתי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הסוכן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הושג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בהעדרו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מבלי להקל ראש במעשיו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גרס הסנגור כי הנאשם ביצע אותם שלא מתוך מניעים עברייניים אלא בשל קשייו לסרב לאחיו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כפי שציין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מידת השפעתו של האח על הנאשם הי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תה גדולה בהתחשב בפער הגילים שביניהם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במנהגי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הגדול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הבוגר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/>
          <w:sz w:val="24"/>
          <w:sz w:val="24"/>
          <w:szCs w:val="24"/>
          <w:rtl w:val="true"/>
        </w:rPr>
        <w:t>נסיבות ביצוע העבירה שונות אפוא בתכלית מ</w:t>
      </w:r>
      <w:r>
        <w:rPr>
          <w:rFonts w:ascii="Arial" w:hAnsi="Arial"/>
          <w:sz w:val="24"/>
          <w:sz w:val="24"/>
          <w:szCs w:val="24"/>
          <w:rtl w:val="true"/>
        </w:rPr>
        <w:t>הנסיבות בהן ביצעו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הנאשמים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את העבירות בהן הורשעו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עתר הסנגור לקבוע מתחם ענישה נפרד בנוגע לעבירה שביצע הנאשם אשר יהלום את חלקו המצומצם בביצועה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לדרדרו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צדדיו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שתוארו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דפוסים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באישיותו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הטיפולית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והחיסכון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נפתחו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למוטב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משליחתו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240" w:after="200"/>
        <w:ind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מגבולות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לחילופין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שאורכו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וההרתעה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 ניצל את זכותו למילים אחרונות והטעים כי הוא מצטער ומתבייש במעשיו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שתואר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2368/11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/>
          <w:sz w:val="24"/>
          <w:sz w:val="24"/>
          <w:szCs w:val="24"/>
          <w:rtl w:val="true"/>
        </w:rPr>
        <w:t>נפעא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240" w:before="0" w:after="0"/>
        <w:ind w:start="1134" w:end="709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 xml:space="preserve">על הסכנות הרבות הנשקפות מסחר בלתי חוקי בנשק עמד בית משפט זה לא אחת בציינו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הניסיון מלמד שנשק אשר מקורו מפוקפק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לאחר שהוא יוצא מידי המחזיק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מוצא את דרכו לידיים עברייניות או למפגעים למיניהם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והרי אלה גם אלה כבר הוכיחו כי אין הם מהססים להשתמש בו גם במקומות סואנים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וגם כאשר ברור להם כי עלולים להיפגע מהירי אנשים תמימים שנקלעו לזירה בדרך מקרה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(</w:t>
      </w:r>
      <w:hyperlink r:id="rId12">
        <w:r>
          <w:rPr>
            <w:rStyle w:val="Hyperlink"/>
            <w:rFonts w:ascii="Arial" w:hAnsi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5833/07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/>
          <w:b/>
          <w:b/>
          <w:bCs/>
          <w:rtl w:val="true"/>
        </w:rPr>
        <w:t>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([</w:t>
      </w:r>
      <w:r>
        <w:rPr>
          <w:rFonts w:ascii="Arial" w:hAnsi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 xml:space="preserve">], </w:t>
      </w:r>
      <w:r>
        <w:rPr>
          <w:rFonts w:cs="Arial" w:ascii="Arial" w:hAnsi="Arial"/>
          <w:b/>
          <w:bCs/>
        </w:rPr>
        <w:t>18.11.2007</w:t>
      </w:r>
      <w:r>
        <w:rPr>
          <w:rFonts w:cs="Arial" w:ascii="Arial" w:hAnsi="Arial"/>
          <w:b/>
          <w:bCs/>
          <w:rtl w:val="true"/>
        </w:rPr>
        <w:t xml:space="preserve">);...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/>
          <w:b/>
          <w:b/>
          <w:bCs/>
          <w:rtl w:val="true"/>
        </w:rPr>
        <w:t>מחייבת מתן ביטוי עונשי הולם והחמרה ברמת הענישה</w:t>
      </w:r>
      <w:r>
        <w:rPr>
          <w:rFonts w:cs="Arial" w:ascii="Arial" w:hAnsi="Arial"/>
          <w:b/>
          <w:bCs/>
          <w:rtl w:val="true"/>
        </w:rPr>
        <w:t>" (</w:t>
      </w:r>
      <w:r>
        <w:rPr>
          <w:rFonts w:ascii="Arial" w:hAnsi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/>
          <w:b/>
          <w:b/>
          <w:bCs/>
          <w:color w:val="000000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</w:rPr>
        <w:t>1332/04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/>
          <w:b/>
          <w:b/>
          <w:bCs/>
          <w:color w:val="000000"/>
          <w:rtl w:val="true"/>
        </w:rPr>
        <w:t>מדינת ישראל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/>
          <w:b/>
          <w:b/>
          <w:bCs/>
          <w:color w:val="000000"/>
          <w:rtl w:val="true"/>
        </w:rPr>
        <w:t>פס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/>
          <w:b/>
          <w:b/>
          <w:bCs/>
          <w:color w:val="000000"/>
          <w:rtl w:val="true"/>
        </w:rPr>
        <w:t>פ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/>
          <w:b/>
          <w:b/>
          <w:bCs/>
          <w:color w:val="000000"/>
          <w:rtl w:val="true"/>
        </w:rPr>
        <w:t>ד נח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b/>
          <w:bCs/>
        </w:rPr>
        <w:t>541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545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2004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"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16</w:t>
      </w:r>
      <w:r>
        <w:rPr>
          <w:sz w:val="24"/>
          <w:szCs w:val="24"/>
        </w:rPr>
        <w:t>M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sz w:val="24"/>
          <w:sz w:val="24"/>
          <w:szCs w:val="24"/>
          <w:rtl w:val="true"/>
        </w:rPr>
        <w:t>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וייחודית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בכוחות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מכוונת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פילס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הקצרים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אובדן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ספורות</w:t>
      </w:r>
      <w:r>
        <w:rPr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שורשים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עמוקים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ותלויה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והמהמורות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שבדרכו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והשכיל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התחבב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לקוחותיו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מעבידו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נחלץ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לשחררו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מהמעצר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מקצועיים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דפוסי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בכפוף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ופיקוח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המינורי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יודגש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השפעתו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הבוגר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בשליחותו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אלמלא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  <w:lang w:eastAsia="he-IL"/>
        </w:rPr>
        <w:t>באשר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לקביעת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מתחם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יש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בערך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שנפגע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העבירה</w:t>
      </w:r>
      <w:r>
        <w:rPr>
          <w:sz w:val="24"/>
          <w:szCs w:val="24"/>
          <w:rtl w:val="true"/>
          <w:lang w:eastAsia="he-IL"/>
        </w:rPr>
        <w:t xml:space="preserve">, </w:t>
      </w:r>
      <w:r>
        <w:rPr>
          <w:sz w:val="24"/>
          <w:sz w:val="24"/>
          <w:szCs w:val="24"/>
          <w:rtl w:val="true"/>
          <w:lang w:eastAsia="he-IL"/>
        </w:rPr>
        <w:t>במידת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בו</w:t>
      </w:r>
      <w:r>
        <w:rPr>
          <w:sz w:val="24"/>
          <w:szCs w:val="24"/>
          <w:rtl w:val="true"/>
          <w:lang w:eastAsia="he-IL"/>
        </w:rPr>
        <w:t xml:space="preserve">, </w:t>
      </w:r>
      <w:r>
        <w:rPr>
          <w:sz w:val="24"/>
          <w:sz w:val="24"/>
          <w:szCs w:val="24"/>
          <w:rtl w:val="true"/>
          <w:lang w:eastAsia="he-IL"/>
        </w:rPr>
        <w:t>במדיניות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ובנסיבות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sz w:val="24"/>
          <w:szCs w:val="24"/>
          <w:rtl w:val="true"/>
          <w:lang w:eastAsia="he-IL"/>
        </w:rPr>
        <w:t>(</w:t>
      </w:r>
      <w:r>
        <w:rPr>
          <w:sz w:val="24"/>
          <w:sz w:val="24"/>
          <w:szCs w:val="24"/>
          <w:rtl w:val="true"/>
          <w:lang w:eastAsia="he-IL"/>
        </w:rPr>
        <w:t>ראו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  <w:lang w:eastAsia="he-IL"/>
          </w:rPr>
          <w:t>40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sz w:val="24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  <w:lang w:eastAsia="he-IL"/>
          </w:rPr>
          <w:t>)</w:t>
        </w:r>
      </w:hyperlink>
      <w:r>
        <w:rPr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>לחוק</w:t>
      </w:r>
      <w:r>
        <w:rPr>
          <w:sz w:val="24"/>
          <w:szCs w:val="24"/>
          <w:rtl w:val="true"/>
          <w:lang w:eastAsia="he-IL"/>
        </w:rPr>
        <w:t>)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מדיניות הענישה הנהוגה הינה שיקול אחד מני שקולים רבים בקביעת המתחם</w:t>
      </w:r>
      <w:r>
        <w:rPr>
          <w:rFonts w:cs="Times New Roman" w:ascii="Times New Roman" w:hAnsi="Times New Roman"/>
          <w:sz w:val="30"/>
          <w:szCs w:val="24"/>
          <w:rtl w:val="true"/>
        </w:rPr>
        <w:t>.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hanging="567" w:start="509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בגדרו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נמוך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 w:val="24"/>
          <w:szCs w:val="24"/>
          <w:rtl w:val="true"/>
        </w:rPr>
        <w:t>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המלצתו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מביאים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</w:t>
      </w:r>
      <w:r>
        <w:rPr>
          <w:sz w:val="24"/>
          <w:sz w:val="24"/>
          <w:szCs w:val="24"/>
          <w:rtl w:val="true"/>
        </w:rPr>
        <w:t>י</w:t>
      </w:r>
      <w:r>
        <w:rPr>
          <w:sz w:val="24"/>
          <w:sz w:val="24"/>
          <w:szCs w:val="24"/>
          <w:rtl w:val="true"/>
        </w:rPr>
        <w:t>ק</w:t>
      </w:r>
      <w:r>
        <w:rPr>
          <w:sz w:val="24"/>
          <w:sz w:val="24"/>
          <w:szCs w:val="24"/>
          <w:rtl w:val="true"/>
        </w:rPr>
        <w:t>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567" w:start="509" w:end="0"/>
        <w:contextualSpacing w:val="false"/>
        <w:jc w:val="both"/>
        <w:rPr>
          <w:b/>
          <w:bCs/>
          <w:sz w:val="24"/>
          <w:szCs w:val="24"/>
        </w:rPr>
      </w:pP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החריגות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שתוארו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החלטתי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המצדיקים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</w:t>
      </w:r>
      <w:r>
        <w:rPr>
          <w:sz w:val="24"/>
          <w:sz w:val="24"/>
          <w:szCs w:val="24"/>
          <w:rtl w:val="true"/>
        </w:rPr>
        <w:t>י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 w:val="24"/>
          <w:szCs w:val="24"/>
          <w:rtl w:val="true"/>
        </w:rPr>
        <w:t>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תבטיח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מוזהר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תחזיר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צ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מוחשית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hanging="211" w:end="0"/>
        <w:contextualSpacing w:val="false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תפקודו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hanging="210" w:end="0"/>
        <w:contextualSpacing w:val="false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צ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120"/>
        <w:ind w:hanging="211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796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90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סגנית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44812-06-13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דהן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Arial" w:hAnsi="Arial" w:cs="Arial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Style12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b.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d.a." TargetMode="External"/><Relationship Id="rId6" Type="http://schemas.openxmlformats.org/officeDocument/2006/relationships/hyperlink" Target="http://www.nevo.co.il/law/70301/144.b2.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66366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821328" TargetMode="External"/><Relationship Id="rId12" Type="http://schemas.openxmlformats.org/officeDocument/2006/relationships/hyperlink" Target="http://www.nevo.co.il/case/6034921" TargetMode="External"/><Relationship Id="rId13" Type="http://schemas.openxmlformats.org/officeDocument/2006/relationships/hyperlink" Target="http://www.nevo.co.il/law/70301/40c.b." TargetMode="External"/><Relationship Id="rId14" Type="http://schemas.openxmlformats.org/officeDocument/2006/relationships/hyperlink" Target="http://www.nevo.co.il/law/70301/40d.a." TargetMode="External"/><Relationship Id="rId15" Type="http://schemas.openxmlformats.org/officeDocument/2006/relationships/hyperlink" Target="http://www.nevo.co.il/law/70301/40d.a.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2014-10-30T12:28:00Z</dcterms:created>
  <dc:creator> </dc:creator>
  <dc:description/>
  <cp:keywords/>
  <dc:language>en-IL</dc:language>
  <cp:lastModifiedBy>hofit</cp:lastModifiedBy>
  <dcterms:modified xsi:type="dcterms:W3CDTF">2014-10-30T12:28:00Z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דהן;וג'יד סעיד;מוחמד סעיד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5866366;5821328;6034921</vt:lpwstr>
  </property>
  <property fmtid="{D5CDD505-2E9C-101B-9397-08002B2CF9AE}" pid="10" name="CITY">
    <vt:lpwstr>מרכז</vt:lpwstr>
  </property>
  <property fmtid="{D5CDD505-2E9C-101B-9397-08002B2CF9AE}" pid="11" name="DATE">
    <vt:lpwstr>20141026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ורדה מרוז</vt:lpwstr>
  </property>
  <property fmtid="{D5CDD505-2E9C-101B-9397-08002B2CF9AE}" pid="15" name="LAWLISTTMP1">
    <vt:lpwstr>70301/040d;040c.b.;040d.a.:2</vt:lpwstr>
  </property>
  <property fmtid="{D5CDD505-2E9C-101B-9397-08002B2CF9AE}" pid="16" name="LAWYER">
    <vt:lpwstr>גלעד ארליך;זאב אלוני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44812</vt:lpwstr>
  </property>
  <property fmtid="{D5CDD505-2E9C-101B-9397-08002B2CF9AE}" pid="23" name="NEWPARTB">
    <vt:lpwstr>06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390020141026</vt:lpwstr>
  </property>
  <property fmtid="{D5CDD505-2E9C-101B-9397-08002B2CF9AE}" pid="35" name="TYPE_N_DATE">
    <vt:lpwstr>39020141026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