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44826-05-13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זאייד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אלון אינפלד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אבי ביטון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סעיד אבו זאיי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אהוד בן יהודה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60"/>
        <w:ind w:firstLine="36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עובדתי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274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bookmarkStart w:id="9" w:name="ABSTRACT_END"/>
      <w:bookmarkEnd w:id="9"/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3.12.13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תרגום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12.8.14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ד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3.9.14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להוכחות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26.3.15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firstLine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שהותאמה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13.5.13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רהט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חסן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ונפגשו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לרהט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אלרחמה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ברהט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ברהט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להתפלל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כשיצא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דימה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וחיבק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אחיזתו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בעברית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ובערבית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באזיקים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החקלאות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והריצוף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ומילוליות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להגמיש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תשובותיו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מתורגמן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כישלונו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ולהמלצותיו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כקרבן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וחצי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הסניגור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טהורה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ארכיאולוגי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עודד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אינסטינקטיבי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בהתלהבות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למלכודת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לרגליו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מרכולתם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להיבלע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אביו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36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5604/11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5.10.11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המקימה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ויוצרת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הרחקת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מסוימת</w:t>
      </w:r>
      <w:r>
        <w:rPr>
          <w:rFonts w:cs="Calibri" w:ascii="Calibri" w:hAnsi="Calibri"/>
          <w:b/>
          <w:bCs/>
          <w:rtl w:val="true"/>
        </w:rPr>
        <w:t xml:space="preserve">".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וחטא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שלטון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מדיח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בוססה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סיכומם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יוקדם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ובהדרגה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1768/14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גנאיים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1.7.14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ודומיננטי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38015-01-12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בהיבטים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1768/14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השוטרים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המתחם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מאמציו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הודאתו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באשמה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בזבז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נחסכה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המצטרפת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המרשימים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ללקיחת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ייסורי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על </w:t>
      </w:r>
      <w:r>
        <w:rPr>
          <w:rFonts w:ascii="Calibri" w:hAnsi="Calibri" w:cs="Calibri"/>
          <w:b/>
          <w:b/>
          <w:bCs/>
          <w:rtl w:val="true"/>
        </w:rPr>
        <w:t>רבע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מהדרך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התחתון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אמוץ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והתובע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ביטון</w:t>
      </w:r>
      <w:r>
        <w:rPr>
          <w:rFonts w:cs="Arial" w:ascii="Arial" w:hAnsi="Arial"/>
          <w:rtl w:val="true"/>
        </w:rPr>
        <w:t>.</w:t>
      </w:r>
      <w:bookmarkStart w:id="10" w:name="_GoBack"/>
      <w:bookmarkEnd w:id="10"/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אינפלד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44826-05-13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אבו זאייד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d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74.1" TargetMode="External"/><Relationship Id="rId11" Type="http://schemas.openxmlformats.org/officeDocument/2006/relationships/hyperlink" Target="http://www.nevo.co.il/law/70301/40j.d" TargetMode="External"/><Relationship Id="rId12" Type="http://schemas.openxmlformats.org/officeDocument/2006/relationships/hyperlink" Target="http://www.nevo.co.il/case/6024035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13023134" TargetMode="External"/><Relationship Id="rId15" Type="http://schemas.openxmlformats.org/officeDocument/2006/relationships/hyperlink" Target="http://www.nevo.co.il/case/6949290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4967791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13023134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2017-12-05T08:33:00Z</dcterms:created>
  <dc:creator> </dc:creator>
  <dc:description/>
  <cp:keywords/>
  <dc:language>en-IL</dc:language>
  <cp:lastModifiedBy>run</cp:lastModifiedBy>
  <dcterms:modified xsi:type="dcterms:W3CDTF">2017-12-05T08:33:00Z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אבו זאייד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6024035;7791493:4;13023134:2;6949290;4967791</vt:lpwstr>
  </property>
  <property fmtid="{D5CDD505-2E9C-101B-9397-08002B2CF9AE}" pid="9" name="CITY">
    <vt:lpwstr>ב"ש</vt:lpwstr>
  </property>
  <property fmtid="{D5CDD505-2E9C-101B-9397-08002B2CF9AE}" pid="10" name="DATE">
    <vt:lpwstr>20150608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אינפלד</vt:lpwstr>
  </property>
  <property fmtid="{D5CDD505-2E9C-101B-9397-08002B2CF9AE}" pid="14" name="LAWLISTTMP1">
    <vt:lpwstr>70301/144.b;144.b2;274.1;040j.d</vt:lpwstr>
  </property>
  <property fmtid="{D5CDD505-2E9C-101B-9397-08002B2CF9AE}" pid="15" name="LAWYER">
    <vt:lpwstr>אבי ביטון;אהוד 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44826</vt:lpwstr>
  </property>
  <property fmtid="{D5CDD505-2E9C-101B-9397-08002B2CF9AE}" pid="22" name="NEWPARTB">
    <vt:lpwstr>05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390020150608</vt:lpwstr>
  </property>
  <property fmtid="{D5CDD505-2E9C-101B-9397-08002B2CF9AE}" pid="34" name="TYPE_N_DATE">
    <vt:lpwstr>39020150608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