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drawing>
          <wp:inline distT="0" distB="0" distL="0" distR="0">
            <wp:extent cx="371475" cy="466090"/>
            <wp:effectExtent l="0" t="0" r="0" b="0"/>
            <wp:docPr id="1" name="ישראל - המנורה -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ישראל - המנורה -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9" r="-3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449-10-09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לטיף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בוגדנוב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עומר עבד אל לטיף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ויסאם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עריד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הכרעת הדין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סמך הודייתו במיוחס לו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דהיינו בעבירות </w:t>
      </w:r>
      <w:r>
        <w:rPr>
          <w:rFonts w:ascii="Arial" w:hAnsi="Arial" w:cs="Arial"/>
          <w:b/>
          <w:b/>
          <w:bCs/>
          <w:rtl w:val="true"/>
        </w:rPr>
        <w:t>בנשק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מעובדות כתב האישום ומהודיית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9/5/09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בן עמי בעכו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ונשא על גופו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 חצי אוטומאטי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מספר סידורי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באקדח היתה 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האקדח סוגל לירות כדור שבכוחו להמית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מהתסקיר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הנו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והוא עובד לפרנסתו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מודה 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בעובדות כתב האישום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אך אינו לוקח אחריות פלילית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ואינו מחובר רגשית לחומרת מעשיו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התרשמה כי הנאשם הנו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חשדן וקורבני בהתנהלותו מול גורמי סמכות וממסד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התנהגותו מאופיינת בדפוסים אימפולסיביים ונעדרת אצלו כל התבוננות פנימית ביקורתית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אינו מודע לבעייתיות שבהתנהגותו העבריינית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שמותיר על כנו את הסיכון להישנות התנהגות עבריינית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ביטא נזקקות טיפולית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נמנע מהמלצה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והמליץ להטיל על הנאשם ענישה קונקרטית ומוחשית אשר תחדד עבורו את הגבול בין המותר והאסור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עשויה לחברו רגשית לחומרת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ראיות לעניין 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הגישה את גיליון הרישום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עולה כי לחובתו הרשעה קודמת בגין 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דרישת רכוש באיומים וגניבה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הן המחוקק והן בתי המשפט מתייחסים בחומרה לעבירה הנדונה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המציאות השוררת בארץ מחייבת ביטוי עונשי הולם לעבירה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הפנתה לאמור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שהמליץ על ענישה קונקרטית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שתחדד בפני הנאשם את הגבול בין המותר והאסור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ציינה 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שירות המבחן ציין שקיימת אצל הנאשם סכנה להישנות התנהגות עבריינית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ביקשה לגזור על הנאשם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והגישה פסיקה התומכת לדעתה בעמדתה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הנאשם</w:t>
      </w:r>
      <w:r>
        <w:rPr>
          <w:rFonts w:ascii="Arial" w:hAnsi="Arial" w:cs="Arial"/>
          <w:rtl w:val="true"/>
        </w:rPr>
        <w:t xml:space="preserve"> עמד על גילו הצעיר של מרשו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ציין כי באקדח שנשא הנאשם לא היתה תחמושת ולפיכך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נשקפה מהנאשם סכנה לאחרים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אליבא דהסנגור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מסר את האקדח לשוטרים מיד עם מעצרו והודה במיוחס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ציין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מרשו עובד לפרנסתו ומתגורר עם אמו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אותי לפסיקה התומכת בעמדתו ומקילה במקרים של נשיאת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הסנגור להטיל על הנאשם עונש מאסר מותנה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ולחילופין מאסר שירוצה בעבודת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הנאשם 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דברו האחרון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כי עשה טעות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נשיאת נשק שלא כדין היא עבירה שלא בכדי התייחס אליה המחוקק בחומרה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וקבע לצידה עונש של עד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במציאות חיינו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לנשיאתו של נשק כנ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פוטנציאל סיכוני גבוה אף אם בעת לכידתו לא היה הנשק טעון בכדורים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מן הסתם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 שידע להשיג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עשה זאת לשם קישוט והעובדה כי במחסנית האקדח לא היו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משקפת מצב רגעי שניתן לשנותו בקלות יחסית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זאת אף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נשיאתו של נשק הנה במקרים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דוגמא מובהקת לעבירה הגוררת עבירה ומציאות חיינו מוכיחה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בכדי קבע אפוא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העבירה הנדונה מצדיקה השתת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על מי שזו לו הרשעתו הראשונה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9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2718/04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דאחל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color w:val="000000"/>
          <w:rtl w:val="true"/>
        </w:rPr>
        <w:t>רע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1281/04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מחאג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וכן </w:t>
      </w:r>
      <w:hyperlink r:id="rId10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10736/05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כרהוב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זו הסתבכותו הראשונה של הנאשם עם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אם כי העבירות שביצע נעברו עד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 הנאשם קטין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לנגד עיני תעמוד לחומרא גם עמדת שירות המבחן כמובא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אשקול לקולא את הודיית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העובדה שמיד עם לכידתו מסר הלה את האקדח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המוסתר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לשוטרים ואת היותו אדם העובד לפרנסתו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 וחרף הפוטנציאל הסיכוני הגבוה של נשיאת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בלתי טעון 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תעמוד לנגד עיני העובדה כי בעת נשיאת האקדח היתה מחסנית האקדח ללא תחמושת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אתחשב בכך שהנאשם לא ריצה עד כה עונש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בכל הנסיבות ובטיעוני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אני גוזר על הנאשם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בפועל והיתרה מותנית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עבירות בנשק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עבירה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186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גוזר על הנאשם 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היה ולא ישלם הקנס תוך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ייאסר למשך חודשיים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מתקופת מאסרו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תנוכה תקופת מעצרו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9/5/09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13/5/09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במרץ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449-10-09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עבד אל לטיף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852404" TargetMode="External"/><Relationship Id="rId10" Type="http://schemas.openxmlformats.org/officeDocument/2006/relationships/hyperlink" Target="http://www.nevo.co.il/case/6241293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86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2016-04-26T12:04:00Z</dcterms:created>
  <dc:creator> </dc:creator>
  <dc:description/>
  <cp:keywords/>
  <dc:language>en-IL</dc:language>
  <cp:lastModifiedBy>run</cp:lastModifiedBy>
  <dcterms:modified xsi:type="dcterms:W3CDTF">2016-04-26T12:04:00Z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עומר עבד אל לטיף</vt:lpwstr>
  </property>
  <property fmtid="{D5CDD505-2E9C-101B-9397-08002B2CF9AE}" pid="4" name="CASESLISTTMP1">
    <vt:lpwstr>5852404;6241293</vt:lpwstr>
  </property>
  <property fmtid="{D5CDD505-2E9C-101B-9397-08002B2CF9AE}" pid="5" name="CITY">
    <vt:lpwstr>חי'</vt:lpwstr>
  </property>
  <property fmtid="{D5CDD505-2E9C-101B-9397-08002B2CF9AE}" pid="6" name="DATE">
    <vt:lpwstr>20110316</vt:lpwstr>
  </property>
  <property fmtid="{D5CDD505-2E9C-101B-9397-08002B2CF9AE}" pid="7" name="JUDGE">
    <vt:lpwstr>אילן שיף</vt:lpwstr>
  </property>
  <property fmtid="{D5CDD505-2E9C-101B-9397-08002B2CF9AE}" pid="8" name="LAWLISTTMP1">
    <vt:lpwstr>70301/144.b;144;186</vt:lpwstr>
  </property>
  <property fmtid="{D5CDD505-2E9C-101B-9397-08002B2CF9AE}" pid="9" name="LAWYER">
    <vt:lpwstr>ויסאם עריד;פמ"ח מאשה בוגדנוב</vt:lpwstr>
  </property>
  <property fmtid="{D5CDD505-2E9C-101B-9397-08002B2CF9AE}" pid="10" name="NEWPARTA">
    <vt:lpwstr>449</vt:lpwstr>
  </property>
  <property fmtid="{D5CDD505-2E9C-101B-9397-08002B2CF9AE}" pid="11" name="NEWPARTB">
    <vt:lpwstr>10</vt:lpwstr>
  </property>
  <property fmtid="{D5CDD505-2E9C-101B-9397-08002B2CF9AE}" pid="12" name="NEWPARTC">
    <vt:lpwstr>09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RemarkFileName">
    <vt:lpwstr>mechozi me 09 10 449 730 htm</vt:lpwstr>
  </property>
  <property fmtid="{D5CDD505-2E9C-101B-9397-08002B2CF9AE}" pid="16" name="TYPE">
    <vt:lpwstr>2</vt:lpwstr>
  </property>
  <property fmtid="{D5CDD505-2E9C-101B-9397-08002B2CF9AE}" pid="17" name="TYPE_ABS_DATE">
    <vt:lpwstr>390020110316</vt:lpwstr>
  </property>
  <property fmtid="{D5CDD505-2E9C-101B-9397-08002B2CF9AE}" pid="18" name="TYPE_N_DATE">
    <vt:lpwstr>39020110316</vt:lpwstr>
  </property>
  <property fmtid="{D5CDD505-2E9C-101B-9397-08002B2CF9AE}" pid="19" name="WORDNUMPAGES">
    <vt:lpwstr>4</vt:lpwstr>
  </property>
</Properties>
</file>