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44918-12-14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דעיס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44936-12-14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שופט שמואל הרבסט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סאמי דעיס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 xml:space="preserve">ני אבני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מוחמד מחמוד בשמו של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ברגות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פקודת מניעת טרור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bookmarkStart w:id="3" w:name="ABSTRACT_START"/>
      <w:bookmarkEnd w:id="3"/>
      <w:r>
        <w:rPr>
          <w:rFonts w:ascii="Times New Roman" w:hAnsi="Times New Roman" w:cs="FrankRuehl"/>
          <w:szCs w:val="26"/>
          <w:rtl w:val="true"/>
        </w:rPr>
        <w:t>מיני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רציו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דינו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שהורשע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בריבוי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הסתה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לאלימות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טרור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ובריבוי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תמיכה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בארגון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טרוריסטי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נקבע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חומרת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מכלול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המעשים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הערכים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המוגנים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נסיבות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ביצוע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ובחינת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הפסיקה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הנוהגת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מובילים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לכך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אלה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7-20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יחד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מותנה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וקנס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הסתה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לאלימות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לטרור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ביטחון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שיקולים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לחומרה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הודאתו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בריבוי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הסתה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לאלימות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טרור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hyperlink r:id="rId7">
        <w:r>
          <w:rPr>
            <w:rStyle w:val="Hyperlink"/>
            <w:rFonts w:ascii="Times New Roman" w:hAnsi="Times New Roman" w:cs="FrankRuehl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zCs w:val="26"/>
          </w:rPr>
          <w:t>144</w:t>
        </w:r>
        <w:r>
          <w:rPr>
            <w:rStyle w:val="Hyperlink"/>
            <w:rFonts w:ascii="Times New Roman" w:hAnsi="Times New Roman" w:cs="FrankRuehl"/>
            <w:szCs w:val="26"/>
            <w:rtl w:val="true"/>
          </w:rPr>
          <w:t>ד</w:t>
        </w:r>
        <w:r>
          <w:rPr>
            <w:rStyle w:val="Hyperlink"/>
            <w:rFonts w:cs="FrankRuehl" w:ascii="Times New Roman" w:hAnsi="Times New Roman"/>
            <w:szCs w:val="26"/>
          </w:rPr>
          <w:t>2</w:t>
        </w:r>
      </w:hyperlink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</w:t>
      </w:r>
      <w:hyperlink r:id="rId8">
        <w:r>
          <w:rPr>
            <w:rStyle w:val="Hyperlink"/>
            <w:rFonts w:ascii="Times New Roman" w:hAnsi="Times New Roman" w:cs="FrankRuehl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zCs w:val="26"/>
            <w:rtl w:val="true"/>
          </w:rPr>
          <w:t>העונשין</w:t>
        </w:r>
      </w:hyperlink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התשל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ז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cs="FrankRuehl" w:ascii="Times New Roman" w:hAnsi="Times New Roman"/>
          <w:szCs w:val="26"/>
        </w:rPr>
        <w:t>1977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ובריבוי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תמיכה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בארגון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טרוריסטי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hyperlink r:id="rId9">
        <w:r>
          <w:rPr>
            <w:rStyle w:val="Hyperlink"/>
            <w:rFonts w:ascii="Times New Roman" w:hAnsi="Times New Roman" w:cs="FrankRuehl"/>
            <w:szCs w:val="26"/>
            <w:rtl w:val="true"/>
          </w:rPr>
          <w:t>סעיפים</w:t>
        </w:r>
        <w:r>
          <w:rPr>
            <w:rStyle w:val="Hyperlink"/>
            <w:rFonts w:ascii="Times New Roman" w:hAnsi="Times New Roman"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zCs w:val="26"/>
          </w:rPr>
          <w:t>4</w:t>
        </w:r>
        <w:r>
          <w:rPr>
            <w:rStyle w:val="Hyperlink"/>
            <w:rFonts w:cs="FrankRuehl" w:ascii="Times New Roman" w:hAnsi="Times New Roman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zCs w:val="26"/>
            <w:rtl w:val="true"/>
          </w:rPr>
          <w:t>ב</w:t>
        </w:r>
        <w:r>
          <w:rPr>
            <w:rStyle w:val="Hyperlink"/>
            <w:rFonts w:cs="FrankRuehl" w:ascii="Times New Roman" w:hAnsi="Times New Roman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cs="FrankRuehl" w:ascii="Times New Roman" w:hAnsi="Times New Roman"/>
          <w:szCs w:val="26"/>
          <w:rtl w:val="true"/>
        </w:rPr>
        <w:t>-</w:t>
      </w:r>
      <w:hyperlink r:id="rId10">
        <w:r>
          <w:rPr>
            <w:rStyle w:val="Hyperlink"/>
            <w:rFonts w:cs="FrankRuehl" w:ascii="Times New Roman" w:hAnsi="Times New Roman"/>
            <w:szCs w:val="26"/>
          </w:rPr>
          <w:t>4</w:t>
        </w:r>
        <w:r>
          <w:rPr>
            <w:rStyle w:val="Hyperlink"/>
            <w:rFonts w:cs="FrankRuehl" w:ascii="Times New Roman" w:hAnsi="Times New Roman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zCs w:val="26"/>
            <w:rtl w:val="true"/>
          </w:rPr>
          <w:t>ז</w:t>
        </w:r>
        <w:r>
          <w:rPr>
            <w:rStyle w:val="Hyperlink"/>
            <w:rFonts w:cs="FrankRuehl" w:ascii="Times New Roman" w:hAnsi="Times New Roman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</w:t>
      </w:r>
      <w:hyperlink r:id="rId11">
        <w:r>
          <w:rPr>
            <w:rStyle w:val="Hyperlink"/>
            <w:rFonts w:ascii="Times New Roman" w:hAnsi="Times New Roman" w:cs="FrankRuehl"/>
            <w:szCs w:val="26"/>
            <w:rtl w:val="true"/>
          </w:rPr>
          <w:t>פקודת</w:t>
        </w:r>
        <w:r>
          <w:rPr>
            <w:rStyle w:val="Hyperlink"/>
            <w:rFonts w:ascii="Times New Roman" w:hAnsi="Times New Roman"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zCs w:val="26"/>
            <w:rtl w:val="true"/>
          </w:rPr>
          <w:t>מניעת</w:t>
        </w:r>
        <w:r>
          <w:rPr>
            <w:rStyle w:val="Hyperlink"/>
            <w:rFonts w:ascii="Times New Roman" w:hAnsi="Times New Roman"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zCs w:val="26"/>
            <w:rtl w:val="true"/>
          </w:rPr>
          <w:t>טרור</w:t>
        </w:r>
      </w:hyperlink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דינו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בקובעו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כלהלן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הרשת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החברתית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כמוה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ככיכר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העיר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מידת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ההשפעה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ההסתה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נגזרת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ממידת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החשיפה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זוכים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דברי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ההסתה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והטרור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בעבר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נדרש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המפרסם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המסית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לחפש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ולמצוא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מתאימה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ופומבית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לדבריו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נואמים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נדרשו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לקהל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שיצטופף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ויטה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אוזן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לנאומיהם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בכיכר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וכותבים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נדרשו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לכתב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שייאות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לפרסם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מאמריהם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אולם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כיום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המסית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באמצעות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הרשת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החברתית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נדרש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למצוא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לעצמו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קהל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בקלות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רבה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בדלת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אמותיו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ובמחשבו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האישי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מבלי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לצאת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המרחב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הציבורי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ובאבחת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הקלדה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מופצים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דברי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הבלע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בתפוצה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רחבה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במרחבי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הרשת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החברתית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קלות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הפרסום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מחייבת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תהא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מרתיעה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ויידע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מסית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דברים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הנושאים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בחובם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פגיעה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בביטחון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ובשלום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קריאה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לביצוע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טרור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וגזענות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יזכו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הולמת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אדם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משכיל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אשר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שימוש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בכוח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שמקנה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הרשת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החברתית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במרחב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האינטרנטי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מידת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שליטתו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בפרסומיו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הייתה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בלעדית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כמי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שהחזיק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וניהל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הפייסבוק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ושלט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לבדו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שליטתו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התפרסה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התגובות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שהתקבלו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לפרסומיו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אותן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בידיו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למחוק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לעשות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כן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תחת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זאת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המשיך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לפרסם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דברי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בלע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ועוד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קריאות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להרג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ואלימות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חומרת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מכלול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המעשים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הערכים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המוגנים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נסיבות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ביצוע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ובחינת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הפסיקה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הנוהגת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מובילים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לכך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אלה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7-20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יחד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מותנה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וקנס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בסופו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יום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8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cs="FrankRuehl" w:ascii="Times New Roman" w:hAnsi="Times New Roman"/>
          <w:szCs w:val="26"/>
        </w:rPr>
        <w:t>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David"/>
        <w:ind w:end="0"/>
        <w:jc w:val="both"/>
        <w:rPr>
          <w:rFonts w:ascii="Times New Roman" w:hAnsi="Times New Roman" w:cs="FrankRuehl"/>
          <w:sz w:val="6"/>
          <w:szCs w:val="6"/>
        </w:rPr>
      </w:pPr>
      <w:r>
        <w:rPr>
          <w:rFonts w:cs="FrankRuehl"/>
          <w:sz w:val="6"/>
          <w:szCs w:val="6"/>
          <w:rtl w:val="true"/>
        </w:rPr>
      </w:r>
      <w:bookmarkStart w:id="4" w:name="LawTable_End"/>
      <w:bookmarkStart w:id="5" w:name="ABSTRACT_END"/>
      <w:bookmarkStart w:id="6" w:name="LawTable_End"/>
      <w:bookmarkStart w:id="7" w:name="ABSTRACT_END"/>
      <w:bookmarkEnd w:id="6"/>
      <w:bookmarkEnd w:id="7"/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bookmarkStart w:id="9" w:name="PsakDin"/>
      <w:bookmarkEnd w:id="9"/>
      <w:r>
        <w:rPr>
          <w:b/>
          <w:b/>
          <w:bCs/>
          <w:u w:val="single"/>
          <w:rtl w:val="true"/>
        </w:rPr>
        <w:t>הרקע והאישום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הימים ימי קיץ </w:t>
      </w:r>
      <w:r>
        <w:rPr/>
        <w:t>2014</w:t>
      </w:r>
      <w:r>
        <w:rPr>
          <w:rtl w:val="true"/>
        </w:rPr>
        <w:t xml:space="preserve">. </w:t>
      </w:r>
      <w:r>
        <w:rPr>
          <w:rtl w:val="true"/>
        </w:rPr>
        <w:t>אירוע מוביל אירוע</w:t>
      </w:r>
      <w:r>
        <w:rPr>
          <w:rtl w:val="true"/>
        </w:rPr>
        <w:t xml:space="preserve">, </w:t>
      </w:r>
      <w:r>
        <w:rPr>
          <w:rtl w:val="true"/>
        </w:rPr>
        <w:t>אסון רודף אסון</w:t>
      </w:r>
      <w:r>
        <w:rPr>
          <w:rtl w:val="true"/>
        </w:rPr>
        <w:t xml:space="preserve">. </w:t>
      </w:r>
      <w:r>
        <w:rPr>
          <w:rtl w:val="true"/>
        </w:rPr>
        <w:t>שלושה נערים יהודים</w:t>
      </w:r>
      <w:r>
        <w:rPr>
          <w:rtl w:val="true"/>
        </w:rPr>
        <w:t xml:space="preserve">, </w:t>
      </w:r>
      <w:r>
        <w:rPr>
          <w:rtl w:val="true"/>
        </w:rPr>
        <w:t>גיל</w:t>
      </w:r>
      <w:r>
        <w:rPr>
          <w:rtl w:val="true"/>
        </w:rPr>
        <w:t>-</w:t>
      </w:r>
      <w:r>
        <w:rPr>
          <w:rtl w:val="true"/>
        </w:rPr>
        <w:t>עד שער</w:t>
      </w:r>
      <w:r>
        <w:rPr>
          <w:rtl w:val="true"/>
        </w:rPr>
        <w:t xml:space="preserve">, </w:t>
      </w:r>
      <w:r>
        <w:rPr>
          <w:rtl w:val="true"/>
        </w:rPr>
        <w:t>נפתלי פרנקל ואיל יפרח נחטפים</w:t>
      </w:r>
      <w:r>
        <w:rPr>
          <w:rtl w:val="true"/>
        </w:rPr>
        <w:t xml:space="preserve">, </w:t>
      </w:r>
      <w:r>
        <w:rPr>
          <w:rtl w:val="true"/>
        </w:rPr>
        <w:t xml:space="preserve">ובתום מבצע </w:t>
      </w:r>
      <w:r>
        <w:rPr>
          <w:rtl w:val="true"/>
        </w:rPr>
        <w:t>"</w:t>
      </w:r>
      <w:r>
        <w:rPr>
          <w:rtl w:val="true"/>
        </w:rPr>
        <w:t>שובו אחים</w:t>
      </w:r>
      <w:r>
        <w:rPr>
          <w:rtl w:val="true"/>
        </w:rPr>
        <w:t xml:space="preserve">", </w:t>
      </w:r>
      <w:r>
        <w:rPr>
          <w:rtl w:val="true"/>
        </w:rPr>
        <w:t>לדאבון הלב</w:t>
      </w:r>
      <w:r>
        <w:rPr>
          <w:rtl w:val="true"/>
        </w:rPr>
        <w:t xml:space="preserve">, </w:t>
      </w:r>
      <w:r>
        <w:rPr>
          <w:rtl w:val="true"/>
        </w:rPr>
        <w:t>מאתרים כוחות הביטחון את גופותיהם בסמוך לחברון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נחטף ונרצח הנער הערבי מוחמד אבו חדר בירושלים על ידי בגיר ושני קטינים יהודיים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ירי רקטות מוגבר שנורה לעבר שטחי ישראל</w:t>
      </w:r>
      <w:r>
        <w:rPr>
          <w:rtl w:val="true"/>
        </w:rPr>
        <w:t xml:space="preserve">, </w:t>
      </w:r>
      <w:r>
        <w:rPr>
          <w:rtl w:val="true"/>
        </w:rPr>
        <w:t xml:space="preserve">מוביל לפתיחה במבצע </w:t>
      </w:r>
      <w:r>
        <w:rPr>
          <w:rtl w:val="true"/>
        </w:rPr>
        <w:t>"</w:t>
      </w:r>
      <w:r>
        <w:rPr>
          <w:rtl w:val="true"/>
        </w:rPr>
        <w:t>צוק איתן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במהלך המבצע ולאחריו</w:t>
      </w:r>
      <w:r>
        <w:rPr>
          <w:rtl w:val="true"/>
        </w:rPr>
        <w:t xml:space="preserve">, </w:t>
      </w:r>
      <w:r>
        <w:rPr>
          <w:rtl w:val="true"/>
        </w:rPr>
        <w:t>מתרחשים בישראל פיגועים קשים</w:t>
      </w:r>
      <w:r>
        <w:rPr>
          <w:rtl w:val="true"/>
        </w:rPr>
        <w:t xml:space="preserve">.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4.8.14</w:t>
      </w:r>
      <w:r>
        <w:rPr>
          <w:rtl w:val="true"/>
        </w:rPr>
        <w:t xml:space="preserve">, </w:t>
      </w:r>
      <w:r>
        <w:rPr>
          <w:rtl w:val="true"/>
        </w:rPr>
        <w:t>בו נהג טרקטור תושב ג</w:t>
      </w:r>
      <w:r>
        <w:rPr>
          <w:rtl w:val="true"/>
        </w:rPr>
        <w:t>'</w:t>
      </w:r>
      <w:r>
        <w:rPr>
          <w:rtl w:val="true"/>
        </w:rPr>
        <w:t>בל מוכבר דורס אזרח יהודי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22.10.14</w:t>
      </w:r>
      <w:r>
        <w:rPr>
          <w:rtl w:val="true"/>
        </w:rPr>
        <w:t xml:space="preserve">, </w:t>
      </w:r>
      <w:r>
        <w:rPr>
          <w:rtl w:val="true"/>
        </w:rPr>
        <w:t>בסמוך לרכבת הקלה בירושלים</w:t>
      </w:r>
      <w:r>
        <w:rPr>
          <w:rtl w:val="true"/>
        </w:rPr>
        <w:t xml:space="preserve">, </w:t>
      </w:r>
      <w:r>
        <w:rPr>
          <w:rtl w:val="true"/>
        </w:rPr>
        <w:t>שבמהלכו דורס תושב סילוואן תינוקת ואזרחית יהודיות ופוצע נוספים</w:t>
      </w:r>
      <w:r>
        <w:rPr>
          <w:rtl w:val="true"/>
        </w:rPr>
        <w:t xml:space="preserve">, </w:t>
      </w:r>
      <w:r>
        <w:rPr>
          <w:rtl w:val="true"/>
        </w:rPr>
        <w:t>ובהמשך פיגוע ירי ופציעתו הקשה של הפעיל הפוליטי יהודה גליק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5.11.14</w:t>
      </w:r>
      <w:r>
        <w:rPr>
          <w:rtl w:val="true"/>
        </w:rPr>
        <w:t xml:space="preserve"> </w:t>
      </w:r>
      <w:r>
        <w:rPr>
          <w:rtl w:val="true"/>
        </w:rPr>
        <w:t>מתרחש פיגוע דריסה נוסף באמצעות רכב בו נהג תושב שועפאט</w:t>
      </w:r>
      <w:r>
        <w:rPr>
          <w:rtl w:val="true"/>
        </w:rPr>
        <w:t xml:space="preserve">, </w:t>
      </w:r>
      <w:r>
        <w:rPr>
          <w:rtl w:val="true"/>
        </w:rPr>
        <w:t>אשר רצח בנהיגתו קצין מג</w:t>
      </w:r>
      <w:r>
        <w:rPr>
          <w:rtl w:val="true"/>
        </w:rPr>
        <w:t>"</w:t>
      </w:r>
      <w:r>
        <w:rPr>
          <w:rtl w:val="true"/>
        </w:rPr>
        <w:t>ב ופצע נוספים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18.11.14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7:00</w:t>
      </w:r>
      <w:r>
        <w:rPr>
          <w:rtl w:val="true"/>
        </w:rPr>
        <w:t xml:space="preserve"> </w:t>
      </w:r>
      <w:r>
        <w:rPr>
          <w:rtl w:val="true"/>
        </w:rPr>
        <w:t>בבית כנסת בהר נוף בירושלים</w:t>
      </w:r>
      <w:r>
        <w:rPr>
          <w:rtl w:val="true"/>
        </w:rPr>
        <w:t xml:space="preserve">, </w:t>
      </w:r>
      <w:r>
        <w:rPr>
          <w:rtl w:val="true"/>
        </w:rPr>
        <w:t>שני תושבי ג</w:t>
      </w:r>
      <w:r>
        <w:rPr>
          <w:rtl w:val="true"/>
        </w:rPr>
        <w:t>'</w:t>
      </w:r>
      <w:r>
        <w:rPr>
          <w:rtl w:val="true"/>
        </w:rPr>
        <w:t xml:space="preserve">בל מוכבר רוצחים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אזרחים יהודים</w:t>
      </w:r>
      <w:r>
        <w:rPr>
          <w:rtl w:val="true"/>
        </w:rPr>
        <w:t xml:space="preserve">, </w:t>
      </w:r>
      <w:r>
        <w:rPr>
          <w:rtl w:val="true"/>
        </w:rPr>
        <w:t>ביניהם שוטר משטרת ישראל ופוצעים נוספים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זוהי תמציתו של הרקע לעבירות ההסתה והתמיכה בארגון טרור</w:t>
      </w:r>
      <w:r>
        <w:rPr>
          <w:rtl w:val="true"/>
        </w:rPr>
        <w:t xml:space="preserve">, </w:t>
      </w:r>
      <w:r>
        <w:rPr>
          <w:rtl w:val="true"/>
        </w:rPr>
        <w:t>בהן הורשע הנאשם על פי הודאתו שנמסרה במסגרתו של הסדר טיעון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הזירה ששימשה במה לעבירות שביצע הנאשם היא מרחבי המרשתת וליתר דיוק</w:t>
      </w:r>
      <w:r>
        <w:rPr>
          <w:rtl w:val="true"/>
        </w:rPr>
        <w:t xml:space="preserve">- </w:t>
      </w:r>
      <w:r>
        <w:rPr>
          <w:rtl w:val="true"/>
        </w:rPr>
        <w:t>דף הפייסבוק אותו החזיק וניהל הנאשם</w:t>
      </w:r>
      <w:r>
        <w:rPr>
          <w:rtl w:val="true"/>
        </w:rPr>
        <w:t xml:space="preserve">, </w:t>
      </w:r>
      <w:r>
        <w:rPr>
          <w:rtl w:val="true"/>
        </w:rPr>
        <w:t xml:space="preserve">תחת השם </w:t>
      </w:r>
      <w:r>
        <w:rPr>
          <w:rtl w:val="true"/>
        </w:rPr>
        <w:t>"</w:t>
      </w:r>
      <w:r>
        <w:rPr>
          <w:b/>
          <w:bCs/>
        </w:rPr>
        <w:t>Sami dais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מוות לישראל</w:t>
      </w:r>
      <w:r>
        <w:rPr>
          <w:b/>
          <w:bCs/>
          <w:rtl w:val="true"/>
        </w:rPr>
        <w:t>)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פרק העובדות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מתאר שורה ארוכה של פרסומים שפרסם הנאשם בדף הפייסבוק שלו בתקופת מבצע </w:t>
      </w:r>
      <w:r>
        <w:rPr>
          <w:rtl w:val="true"/>
        </w:rPr>
        <w:t>"</w:t>
      </w:r>
      <w:r>
        <w:rPr>
          <w:rtl w:val="true"/>
        </w:rPr>
        <w:t>צוק איתן</w:t>
      </w:r>
      <w:r>
        <w:rPr>
          <w:rtl w:val="true"/>
        </w:rPr>
        <w:t xml:space="preserve">" </w:t>
      </w:r>
      <w:r>
        <w:rPr>
          <w:rtl w:val="true"/>
        </w:rPr>
        <w:t>ולאחריו</w:t>
      </w:r>
      <w:r>
        <w:rPr>
          <w:rtl w:val="true"/>
        </w:rPr>
        <w:t xml:space="preserve">, </w:t>
      </w:r>
      <w:r>
        <w:rPr>
          <w:rtl w:val="true"/>
        </w:rPr>
        <w:t xml:space="preserve">ומחזיק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עמודים בהם מפורטים באריכות הפרסומים</w:t>
      </w:r>
      <w:r>
        <w:rPr>
          <w:rtl w:val="true"/>
        </w:rPr>
        <w:t xml:space="preserve">, </w:t>
      </w:r>
      <w:r>
        <w:rPr>
          <w:rtl w:val="true"/>
        </w:rPr>
        <w:t>התמונות והשירים אותם פרסם הנאשם</w:t>
      </w:r>
      <w:r>
        <w:rPr>
          <w:rtl w:val="true"/>
        </w:rPr>
        <w:t xml:space="preserve">. </w:t>
      </w:r>
      <w:r>
        <w:rPr>
          <w:rtl w:val="true"/>
        </w:rPr>
        <w:t>אלה זכו ל</w:t>
      </w:r>
      <w:r>
        <w:rPr>
          <w:rtl w:val="true"/>
        </w:rPr>
        <w:t>"</w:t>
      </w:r>
      <w:r>
        <w:rPr>
          <w:rtl w:val="true"/>
        </w:rPr>
        <w:t>לייקים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שיירים</w:t>
      </w:r>
      <w:r>
        <w:rPr>
          <w:rtl w:val="true"/>
        </w:rPr>
        <w:t xml:space="preserve">" </w:t>
      </w:r>
      <w:r>
        <w:rPr>
          <w:rtl w:val="true"/>
        </w:rPr>
        <w:t>ממשתמשי פייסבוק רבים</w:t>
      </w:r>
      <w:r>
        <w:rPr>
          <w:rtl w:val="true"/>
        </w:rPr>
        <w:t xml:space="preserve">, </w:t>
      </w:r>
      <w:r>
        <w:rPr>
          <w:rtl w:val="true"/>
        </w:rPr>
        <w:t>ששיתפו והפיצו תכנים אלה לאחרים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אביא להלן מקצת מפרסומי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ביום </w:t>
      </w:r>
      <w:r>
        <w:rPr/>
        <w:t>5.7.14</w:t>
      </w:r>
      <w:r>
        <w:rPr>
          <w:rtl w:val="true"/>
        </w:rPr>
        <w:t xml:space="preserve"> </w:t>
      </w:r>
      <w:r>
        <w:rPr>
          <w:rtl w:val="true"/>
        </w:rPr>
        <w:t>פרסם הנאשם תצלום מודעה בה נכתב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מוות לישראל פרסמו את זה בכל העמודים והחשבונות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תפרסמו את זה בכל הפרופילים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 הפלסטינים והערבים בפייסבוק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תדליקו אש בישראל</w:t>
      </w:r>
      <w:r>
        <w:rPr>
          <w:rtl w:val="true"/>
        </w:rPr>
        <w:t xml:space="preserve">". </w:t>
      </w:r>
      <w:r>
        <w:rPr>
          <w:rtl w:val="true"/>
        </w:rPr>
        <w:t>פרסום זה זכה ל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סימני לייק ושיתוף אחד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בו ביום</w:t>
      </w:r>
      <w:r>
        <w:rPr>
          <w:rtl w:val="true"/>
        </w:rPr>
        <w:t xml:space="preserve">, </w:t>
      </w:r>
      <w:r>
        <w:rPr>
          <w:rtl w:val="true"/>
        </w:rPr>
        <w:t>פרסם הנאשם תמונת אדם הלבוש כיהודי חרדי ומצדיו רובים המכוונים אל ראשו ומעליו סכין ואקדח</w:t>
      </w:r>
      <w:r>
        <w:rPr>
          <w:rtl w:val="true"/>
        </w:rPr>
        <w:t xml:space="preserve">, </w:t>
      </w:r>
      <w:r>
        <w:rPr>
          <w:rtl w:val="true"/>
        </w:rPr>
        <w:t xml:space="preserve">ותחתיו הכיתוב 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דם </w:t>
      </w:r>
      <w:r>
        <w:rPr>
          <w:b/>
          <w:bCs/>
          <w:rtl w:val="true"/>
        </w:rPr>
        <w:t xml:space="preserve">= </w:t>
      </w:r>
      <w:r>
        <w:rPr>
          <w:b/>
          <w:b/>
          <w:bCs/>
          <w:rtl w:val="true"/>
        </w:rPr>
        <w:t>דם</w:t>
      </w:r>
      <w:r>
        <w:rPr>
          <w:b/>
          <w:bCs/>
          <w:rtl w:val="true"/>
        </w:rPr>
        <w:t xml:space="preserve">! </w:t>
      </w:r>
      <w:r>
        <w:rPr>
          <w:b/>
          <w:b/>
          <w:bCs/>
          <w:rtl w:val="true"/>
        </w:rPr>
        <w:t>להרוג אותם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מוות למתנחלים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פרסום זה זכה 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לייקים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ביום </w:t>
      </w:r>
      <w:r>
        <w:rPr/>
        <w:t>20.7.14</w:t>
      </w:r>
      <w:r>
        <w:rPr>
          <w:rtl w:val="true"/>
        </w:rPr>
        <w:t xml:space="preserve"> </w:t>
      </w:r>
      <w:r>
        <w:rPr>
          <w:rtl w:val="true"/>
        </w:rPr>
        <w:t>פרסם הנאשם בפייסבוק</w:t>
      </w:r>
      <w:r>
        <w:rPr>
          <w:rtl w:val="true"/>
        </w:rPr>
        <w:t xml:space="preserve">, </w:t>
      </w:r>
      <w:r>
        <w:rPr>
          <w:rtl w:val="true"/>
        </w:rPr>
        <w:t xml:space="preserve">תצלום שעליו הכיתוב 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שאול אורון </w:t>
      </w:r>
      <w:r>
        <w:rPr>
          <w:b/>
          <w:bCs/>
          <w:rtl w:val="true"/>
        </w:rPr>
        <w:t>(</w:t>
      </w:r>
      <w:r>
        <w:rPr>
          <w:b/>
          <w:bCs/>
        </w:rPr>
        <w:t>6092065</w:t>
      </w:r>
      <w:r>
        <w:rPr>
          <w:b/>
          <w:bCs/>
          <w:rtl w:val="true"/>
        </w:rPr>
        <w:t>)"</w:t>
      </w:r>
      <w:r>
        <w:rPr>
          <w:rtl w:val="true"/>
        </w:rPr>
        <w:t xml:space="preserve">, </w:t>
      </w:r>
      <w:r>
        <w:rPr>
          <w:rtl w:val="true"/>
        </w:rPr>
        <w:t xml:space="preserve">ולצדו פרסם סטטוס צמוד 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אללה מחייה אלקסאם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אללא ינחיל נצחון להתנגדות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במועדים שונים נוספים</w:t>
      </w:r>
      <w:r>
        <w:rPr>
          <w:rtl w:val="true"/>
        </w:rPr>
        <w:t xml:space="preserve">, </w:t>
      </w:r>
      <w:r>
        <w:rPr>
          <w:rtl w:val="true"/>
        </w:rPr>
        <w:t>פרסם הנאשם תמונות של רעולי פנים חמושים</w:t>
      </w:r>
      <w:r>
        <w:rPr>
          <w:rtl w:val="true"/>
        </w:rPr>
        <w:t xml:space="preserve">, </w:t>
      </w:r>
      <w:r>
        <w:rPr>
          <w:rtl w:val="true"/>
        </w:rPr>
        <w:t xml:space="preserve">כשלצדם סטטוסים דוגמת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תנער את הנשק שלך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ביום </w:t>
      </w:r>
      <w:r>
        <w:rPr/>
        <w:t>26.7.14</w:t>
      </w:r>
      <w:r>
        <w:rPr>
          <w:rtl w:val="true"/>
        </w:rPr>
        <w:t xml:space="preserve">, </w:t>
      </w:r>
      <w:r>
        <w:rPr>
          <w:rtl w:val="true"/>
        </w:rPr>
        <w:t>פרסם הנאשם תצלומים של שני קורבנות אלימות ערבים שהותקפו באופן חמור ממניע לאומני על ידי יהודים</w:t>
      </w:r>
      <w:r>
        <w:rPr>
          <w:rtl w:val="true"/>
        </w:rPr>
        <w:t xml:space="preserve">, </w:t>
      </w:r>
      <w:r>
        <w:rPr>
          <w:rtl w:val="true"/>
        </w:rPr>
        <w:t>כשהם חבולים ומדממים</w:t>
      </w:r>
      <w:r>
        <w:rPr>
          <w:rtl w:val="true"/>
        </w:rPr>
        <w:t xml:space="preserve">, </w:t>
      </w:r>
      <w:r>
        <w:rPr>
          <w:rtl w:val="true"/>
        </w:rPr>
        <w:t xml:space="preserve">ותחתם כתב 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הנקמה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הנקמה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17.10.14</w:t>
      </w:r>
      <w:r>
        <w:rPr>
          <w:rtl w:val="true"/>
        </w:rPr>
        <w:t xml:space="preserve"> </w:t>
      </w:r>
      <w:r>
        <w:rPr>
          <w:rtl w:val="true"/>
        </w:rPr>
        <w:t>פרסם הנאשם בפייסבוק תצלום של סמל החזית העממית לשחרור פלסטין</w:t>
      </w:r>
      <w:r>
        <w:rPr>
          <w:rtl w:val="true"/>
        </w:rPr>
        <w:t xml:space="preserve">, </w:t>
      </w:r>
      <w:r>
        <w:rPr>
          <w:rtl w:val="true"/>
        </w:rPr>
        <w:t xml:space="preserve">ומתחתיו הכיתוב 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החזית העממית לשחרור פלסטין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פרסום זה זכה 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סימני לייק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 xml:space="preserve">ביום </w:t>
      </w:r>
      <w:r>
        <w:rPr/>
        <w:t>23.10.14</w:t>
      </w:r>
      <w:r>
        <w:rPr>
          <w:rtl w:val="true"/>
        </w:rPr>
        <w:t xml:space="preserve">, </w:t>
      </w:r>
      <w:r>
        <w:rPr>
          <w:rtl w:val="true"/>
        </w:rPr>
        <w:t>למחרת פיגוע הדריסה ליד הרכבת הקלה בו נהרגו תינוקת ואזרחית יהודייה נוספת</w:t>
      </w:r>
      <w:r>
        <w:rPr>
          <w:rtl w:val="true"/>
        </w:rPr>
        <w:t xml:space="preserve">, </w:t>
      </w:r>
      <w:r>
        <w:rPr>
          <w:rtl w:val="true"/>
        </w:rPr>
        <w:t xml:space="preserve">שיתף הנאשם תצלום של המחבל הפוגע ועליו הכיתוב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ברוב כבוד וגאווה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מודיעה התנועה של הג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יהאד האסלאמי בפלסטין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נפילתו של המוג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אהד עבד אל רחמן אלשלודי השהיד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מבצע פעולת הדריסה במתנחלים בגבעה הצרפתית בתאריך </w:t>
      </w:r>
      <w:r>
        <w:rPr>
          <w:b/>
          <w:bCs/>
        </w:rPr>
        <w:t>22.10.14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פרסום זה זכה ב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סימני </w:t>
      </w:r>
      <w:r>
        <w:rPr>
          <w:rtl w:val="true"/>
        </w:rPr>
        <w:t>"</w:t>
      </w:r>
      <w:r>
        <w:rPr>
          <w:rtl w:val="true"/>
        </w:rPr>
        <w:t>לייק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למחרת  פיגוע הירי ביהודה גליק ביום </w:t>
      </w:r>
      <w:r>
        <w:rPr/>
        <w:t>29.10.14</w:t>
      </w:r>
      <w:r>
        <w:rPr>
          <w:rtl w:val="true"/>
        </w:rPr>
        <w:t xml:space="preserve">, </w:t>
      </w:r>
      <w:r>
        <w:rPr>
          <w:rtl w:val="true"/>
        </w:rPr>
        <w:t>פרסם הנאשם את תצלום המחבל היורה כשלצדו הסטטוס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אללה יברך את הבטן שנשאה את המנהיג השהיד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בן ירושלים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שומר כבוד אלאקצא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אללה ירבה אנשים כמוך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פרח סילואן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אללה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עשה שגורלי יהיה כגורל השהידים המכובדים של אלאקצה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גם פרסום זה זכה 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סימני </w:t>
      </w:r>
      <w:r>
        <w:rPr>
          <w:rtl w:val="true"/>
        </w:rPr>
        <w:t>"</w:t>
      </w:r>
      <w:r>
        <w:rPr>
          <w:rtl w:val="true"/>
        </w:rPr>
        <w:t>לייק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ביום </w:t>
      </w:r>
      <w:r>
        <w:rPr/>
        <w:t>19.11.14</w:t>
      </w:r>
      <w:r>
        <w:rPr>
          <w:rtl w:val="true"/>
        </w:rPr>
        <w:t xml:space="preserve"> </w:t>
      </w:r>
      <w:r>
        <w:rPr>
          <w:rtl w:val="true"/>
        </w:rPr>
        <w:t xml:space="preserve">שיתף הנאשם בפייסבוק סרטון אנימציה בו מושמע שיר בעברית ששמו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ציוני תברח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וכך מילות השיר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ציוני תברח שכן אוטוטו אתם נהרגים על ידי מכונית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הסתכל שמאלה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תיזהר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מכונית מגיחה מכל עבר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אוספת אותך בדרך לקבר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רכב זועם דוהר לכיוונך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כה ממהר נוס על נפשך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אתה בחרת אז תשא באחריות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תברח כבר כי אתה עומד למות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ציוני תברח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תברחו ציונים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אתם אוטוטו בכל דרך נהרגים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סימני לייק תמכו בפרסום 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ביום </w:t>
      </w:r>
      <w:r>
        <w:rPr/>
        <w:t>18.11.14</w:t>
      </w:r>
      <w:r>
        <w:rPr>
          <w:rtl w:val="true"/>
        </w:rPr>
        <w:t xml:space="preserve">, </w:t>
      </w:r>
      <w:r>
        <w:rPr>
          <w:rtl w:val="true"/>
        </w:rPr>
        <w:t>לאחר הפיגוע בבית הכנסת בהר נוף</w:t>
      </w:r>
      <w:r>
        <w:rPr>
          <w:rtl w:val="true"/>
        </w:rPr>
        <w:t xml:space="preserve">, </w:t>
      </w:r>
      <w:r>
        <w:rPr>
          <w:rtl w:val="true"/>
        </w:rPr>
        <w:t>ועוד באותו היום</w:t>
      </w:r>
      <w:r>
        <w:rPr>
          <w:rtl w:val="true"/>
        </w:rPr>
        <w:t xml:space="preserve">, </w:t>
      </w:r>
      <w:r>
        <w:rPr>
          <w:rtl w:val="true"/>
        </w:rPr>
        <w:t>פרסם הנאשם תצלום של שני מבצעי הפיגוע ולצדו כתב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אלה המגנים על המזרח הקדוש והמגנים על האקצא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בעלי התגובה המהירה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שהידים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הטילו פחד בבתי הכופרים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שמאלנים בדעותיהם וגיבורים בתגובותיהם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 xml:space="preserve">פרסום זה גרף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 xml:space="preserve">סימני </w:t>
      </w:r>
      <w:r>
        <w:rPr>
          <w:rtl w:val="true"/>
        </w:rPr>
        <w:t>"</w:t>
      </w:r>
      <w:r>
        <w:rPr>
          <w:rtl w:val="true"/>
        </w:rPr>
        <w:t>לייק</w:t>
      </w:r>
      <w:r>
        <w:rPr>
          <w:rtl w:val="true"/>
        </w:rPr>
        <w:t xml:space="preserve">" </w:t>
      </w:r>
      <w:r>
        <w:rPr>
          <w:rtl w:val="true"/>
        </w:rPr>
        <w:t>ושיתוף אחד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 אותו יום</w:t>
      </w:r>
      <w:r>
        <w:rPr>
          <w:rtl w:val="true"/>
        </w:rPr>
        <w:t xml:space="preserve">, </w:t>
      </w:r>
      <w:r>
        <w:rPr>
          <w:rtl w:val="true"/>
        </w:rPr>
        <w:t>שיתף הנאשם איור של המתאר שחיטת יהודים בבית כנסת</w:t>
      </w:r>
      <w:r>
        <w:rPr>
          <w:rtl w:val="true"/>
        </w:rPr>
        <w:t xml:space="preserve">, </w:t>
      </w:r>
      <w:r>
        <w:rPr>
          <w:rtl w:val="true"/>
        </w:rPr>
        <w:t xml:space="preserve">ותחתיו הכיתוב 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אינתפאדת אל קודס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כוחות ירושלים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אלאקצא הוא האחריות שלי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בשבילך אלאקצה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פרסם הנאשם את תמונות שני המחבלים אשר ביצעו את פיגוע בית הכנסת ותחתיהן הכיתוב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השהיד הגיבור ע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סאן אבו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 xml:space="preserve">מל 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עדי אבו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גיבורי פיגוע בית הכנסת הציוני אתמול בבוקר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בני ירושלים המכובדת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 xml:space="preserve">פרסום זה גרף תמיכה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סימני לייק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 xml:space="preserve">עוד ביום </w:t>
      </w:r>
      <w:r>
        <w:rPr/>
        <w:t>18.11.14</w:t>
      </w:r>
      <w:r>
        <w:rPr>
          <w:rtl w:val="true"/>
        </w:rPr>
        <w:t xml:space="preserve"> </w:t>
      </w:r>
      <w:r>
        <w:rPr>
          <w:rtl w:val="true"/>
        </w:rPr>
        <w:t>שיתף הנאשם בפייסבוק תצלום של עמוד הפייסבוק של החזית העממית לשחרור פלסטין</w:t>
      </w:r>
      <w:r>
        <w:rPr>
          <w:rtl w:val="true"/>
        </w:rPr>
        <w:t xml:space="preserve">, </w:t>
      </w:r>
      <w:r>
        <w:rPr>
          <w:rtl w:val="true"/>
        </w:rPr>
        <w:t>בו מופיע משמאל מבצע הפיגוע בבית הכנסת</w:t>
      </w:r>
      <w:r>
        <w:rPr>
          <w:rtl w:val="true"/>
        </w:rPr>
        <w:t xml:space="preserve">, </w:t>
      </w:r>
      <w:r>
        <w:rPr>
          <w:rtl w:val="true"/>
        </w:rPr>
        <w:t>ומימין איור המתאר גרזן על רקע מסגד אלאקצא</w:t>
      </w:r>
      <w:r>
        <w:rPr>
          <w:rtl w:val="true"/>
        </w:rPr>
        <w:t xml:space="preserve">. </w:t>
      </w:r>
      <w:r>
        <w:rPr>
          <w:rtl w:val="true"/>
        </w:rPr>
        <w:t>לצד אלה הופיע הכיתוב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הו הציונים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בכל המקומות ובכל האמצעים נקצור את נשמותיכם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החזית העממית לשחרור פלסטין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 אלעזה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תחי חזית התגובה וכתובת השמאל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פרסם בדף הפייסבוק שלו כתובות ותמונות נוספות מסוג זה</w:t>
      </w:r>
      <w:r>
        <w:rPr>
          <w:rtl w:val="true"/>
        </w:rPr>
        <w:t xml:space="preserve">, </w:t>
      </w:r>
      <w:r>
        <w:rPr>
          <w:rtl w:val="true"/>
        </w:rPr>
        <w:t>שזכו לשיתוף ואהדה</w:t>
      </w:r>
      <w:r>
        <w:rPr>
          <w:rtl w:val="true"/>
        </w:rPr>
        <w:t xml:space="preserve">, </w:t>
      </w:r>
      <w:r>
        <w:rPr>
          <w:rtl w:val="true"/>
        </w:rPr>
        <w:t>כפי שפורט באריכות בכתב 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בגין כל 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הואשם והורשע הנאשם כאמור בהתאם להודאתו בריבוי עבירות של הסתה לאלימות או טרור לפי </w:t>
      </w:r>
      <w:hyperlink r:id="rId12"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ד</w:t>
        </w:r>
        <w:r>
          <w:rPr>
            <w:rStyle w:val="Hyperlink"/>
            <w:b/>
            <w:bCs/>
            <w:color w:val="0000FF"/>
            <w:u w:val="single"/>
          </w:rPr>
          <w:t>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3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ובריבוי עבירות של תמיכה בארגון טרוריסטי לפי </w:t>
      </w:r>
      <w:hyperlink r:id="rId14"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b/>
            <w:bCs/>
            <w:color w:val="0000FF"/>
            <w:u w:val="single"/>
          </w:rPr>
          <w:t>4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hyperlink r:id="rId15">
        <w:r>
          <w:rPr>
            <w:rStyle w:val="Hyperlink"/>
            <w:b/>
            <w:bCs/>
            <w:color w:val="0000FF"/>
            <w:u w:val="single"/>
          </w:rPr>
          <w:t>4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ז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6">
        <w:r>
          <w:rPr>
            <w:rStyle w:val="Hyperlink"/>
            <w:b/>
            <w:b/>
            <w:bCs/>
            <w:color w:val="0000FF"/>
            <w:u w:val="single"/>
            <w:rtl w:val="true"/>
          </w:rPr>
          <w:t>פקודת מניעת טרור</w:t>
        </w:r>
      </w:hyperlink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עובר להודאת הנאשם והרשעתו עלתה מצידו טענה לאכיפה בררנית ולהגנה מן הצדק</w:t>
      </w:r>
      <w:r>
        <w:rPr>
          <w:rtl w:val="true"/>
        </w:rPr>
        <w:t xml:space="preserve">, </w:t>
      </w:r>
      <w:r>
        <w:rPr>
          <w:rtl w:val="true"/>
        </w:rPr>
        <w:t xml:space="preserve">אשר נדחתה בהחלטתי מיום </w:t>
      </w:r>
      <w:r>
        <w:rPr/>
        <w:t>24.2.15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הטיעונים 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בני ליבסקינד</w:t>
      </w:r>
      <w:r>
        <w:rPr>
          <w:rtl w:val="true"/>
        </w:rPr>
        <w:t xml:space="preserve">,  </w:t>
      </w:r>
      <w:r>
        <w:rPr>
          <w:rtl w:val="true"/>
        </w:rPr>
        <w:t>הדגיש בטיעוניו את הפגיעה בערכי שלמות הגוף והגנתו</w:t>
      </w:r>
      <w:r>
        <w:rPr>
          <w:rtl w:val="true"/>
        </w:rPr>
        <w:t xml:space="preserve">, </w:t>
      </w:r>
      <w:r>
        <w:rPr>
          <w:rtl w:val="true"/>
        </w:rPr>
        <w:t>הסדר הציבורי</w:t>
      </w:r>
      <w:r>
        <w:rPr>
          <w:rtl w:val="true"/>
        </w:rPr>
        <w:t xml:space="preserve">, </w:t>
      </w:r>
      <w:r>
        <w:rPr>
          <w:rtl w:val="true"/>
        </w:rPr>
        <w:t>דמוקרטיה ושלטון החוק תוך שימוש לא חוקי ולא לגיטימי בחופש הביטוי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התקופה בה בוצעו העבירות מלמדת כי כל אמירה שנאמרה על ידי הנאשם יכול ונפלה על קרקע פוריה</w:t>
      </w:r>
      <w:r>
        <w:rPr>
          <w:rtl w:val="true"/>
        </w:rPr>
        <w:t xml:space="preserve">, </w:t>
      </w:r>
      <w:r>
        <w:rPr>
          <w:rtl w:val="true"/>
        </w:rPr>
        <w:t>זרועת אלימות</w:t>
      </w:r>
      <w:r>
        <w:rPr>
          <w:rtl w:val="true"/>
        </w:rPr>
        <w:t xml:space="preserve">, </w:t>
      </w:r>
      <w:r>
        <w:rPr>
          <w:rtl w:val="true"/>
        </w:rPr>
        <w:t>אבנים זיקוקים ובקבוקי תבערה</w:t>
      </w:r>
      <w:r>
        <w:rPr>
          <w:rtl w:val="true"/>
        </w:rPr>
        <w:t xml:space="preserve">, </w:t>
      </w:r>
      <w:r>
        <w:rPr>
          <w:rtl w:val="true"/>
        </w:rPr>
        <w:t>והשפעתה השלילית הינה מרובה עד מאד</w:t>
      </w:r>
      <w:r>
        <w:rPr>
          <w:rtl w:val="true"/>
        </w:rPr>
        <w:t xml:space="preserve">. </w:t>
      </w:r>
      <w:r>
        <w:rPr>
          <w:rtl w:val="true"/>
        </w:rPr>
        <w:t>בשל כל אלו</w:t>
      </w:r>
      <w:r>
        <w:rPr>
          <w:rtl w:val="true"/>
        </w:rPr>
        <w:t xml:space="preserve">, </w:t>
      </w:r>
      <w:r>
        <w:rPr>
          <w:rtl w:val="true"/>
        </w:rPr>
        <w:t>עתר ב</w:t>
      </w:r>
      <w:r>
        <w:rPr>
          <w:rtl w:val="true"/>
        </w:rPr>
        <w:t>"</w:t>
      </w:r>
      <w:r>
        <w:rPr>
          <w:rtl w:val="true"/>
        </w:rPr>
        <w:t xml:space="preserve">כ המאשימה למתחם ענישה העומד על </w:t>
      </w:r>
      <w:r>
        <w:rPr>
          <w:b/>
          <w:bCs/>
        </w:rPr>
        <w:t>18-36</w:t>
      </w:r>
      <w:r>
        <w:rPr>
          <w:rtl w:val="true"/>
        </w:rPr>
        <w:t xml:space="preserve"> </w:t>
      </w:r>
      <w:r>
        <w:rPr>
          <w:rtl w:val="true"/>
        </w:rPr>
        <w:t>חודשי מאסר בפועל ממש יחד עם מאסר מותנה מרתיע ומשמעותי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 עברו הפלילי הנקי ונטול ההרשעות של הנאשם ויתר נתוניו האישיים העומדים לזכותו</w:t>
      </w:r>
      <w:r>
        <w:rPr>
          <w:rtl w:val="true"/>
        </w:rPr>
        <w:t xml:space="preserve">, </w:t>
      </w:r>
      <w:r>
        <w:rPr>
          <w:rtl w:val="true"/>
        </w:rPr>
        <w:t>צריך העונש המתאים</w:t>
      </w:r>
      <w:r>
        <w:rPr>
          <w:rtl w:val="true"/>
        </w:rPr>
        <w:t xml:space="preserve">, </w:t>
      </w:r>
      <w:r>
        <w:rPr>
          <w:rtl w:val="true"/>
        </w:rPr>
        <w:t>כך לשיטתו</w:t>
      </w:r>
      <w:r>
        <w:rPr>
          <w:rtl w:val="true"/>
        </w:rPr>
        <w:t xml:space="preserve">, </w:t>
      </w:r>
      <w:r>
        <w:rPr>
          <w:rtl w:val="true"/>
        </w:rPr>
        <w:t>לעמוד על השליש התחתון של מתחם 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מנגד טען הסניגור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טארק ברגות</w:t>
      </w:r>
      <w:r>
        <w:rPr>
          <w:rtl w:val="true"/>
        </w:rPr>
        <w:t xml:space="preserve">, </w:t>
      </w:r>
      <w:r>
        <w:rPr>
          <w:rtl w:val="true"/>
        </w:rPr>
        <w:t>כי מדובר בסוגיה חדשנית אשר טרם נדונה בבתי המשפט</w:t>
      </w:r>
      <w:r>
        <w:rPr>
          <w:rtl w:val="true"/>
        </w:rPr>
        <w:t xml:space="preserve">, </w:t>
      </w:r>
      <w:r>
        <w:rPr>
          <w:rtl w:val="true"/>
        </w:rPr>
        <w:t>ועל כן ראוי היה להזהיר בטרם ייענש הנאשם בגין מעשיו</w:t>
      </w:r>
      <w:r>
        <w:rPr>
          <w:rtl w:val="true"/>
        </w:rPr>
        <w:t xml:space="preserve">. </w:t>
      </w:r>
      <w:r>
        <w:rPr>
          <w:rtl w:val="true"/>
        </w:rPr>
        <w:t>עוד הפנה הסניגור המלומד בטיעוניו לעובדה כי פרסומי הסתה רבים קיימים ברשת בכל זמן נתון</w:t>
      </w:r>
      <w:r>
        <w:rPr>
          <w:rtl w:val="true"/>
        </w:rPr>
        <w:t xml:space="preserve">, </w:t>
      </w:r>
      <w:r>
        <w:rPr>
          <w:rtl w:val="true"/>
        </w:rPr>
        <w:t>אך רשויות החוק בחרו לאכוף את המקרה דנן באופן סלקטיבי ולא ראוי</w:t>
      </w:r>
      <w:r>
        <w:rPr>
          <w:rtl w:val="true"/>
        </w:rPr>
        <w:t xml:space="preserve">, </w:t>
      </w:r>
      <w:r>
        <w:rPr>
          <w:rtl w:val="true"/>
        </w:rPr>
        <w:t>ואשר על כן צריך הדבר להביא להקלה בדינו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 הצביע ב</w:t>
      </w:r>
      <w:r>
        <w:rPr>
          <w:rtl w:val="true"/>
        </w:rPr>
        <w:t>"</w:t>
      </w:r>
      <w:r>
        <w:rPr>
          <w:rtl w:val="true"/>
        </w:rPr>
        <w:t xml:space="preserve">כ הנאשם על עונשו של </w:t>
      </w:r>
      <w:r>
        <w:rPr>
          <w:b/>
          <w:b/>
          <w:bCs/>
          <w:rtl w:val="true"/>
        </w:rPr>
        <w:t>עומר שלבי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 שיפורט לעיל</w:t>
      </w:r>
      <w:r>
        <w:rPr>
          <w:rtl w:val="true"/>
        </w:rPr>
        <w:t xml:space="preserve">) </w:t>
      </w:r>
      <w:r>
        <w:rPr>
          <w:rtl w:val="true"/>
        </w:rPr>
        <w:t>אשר הורשע בעבירות דומות</w:t>
      </w:r>
      <w:r>
        <w:rPr>
          <w:rtl w:val="true"/>
        </w:rPr>
        <w:t xml:space="preserve">, </w:t>
      </w:r>
      <w:r>
        <w:rPr>
          <w:rtl w:val="true"/>
        </w:rPr>
        <w:t>ועל השוני בין מקרה זה למקרה דנן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לטובתו של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עתר הסניגור לענישה מופחתת אשר תכלול את ימי מעצרו של הנאשם </w:t>
      </w:r>
      <w:r>
        <w:rPr>
          <w:rtl w:val="true"/>
        </w:rPr>
        <w:t>(</w:t>
      </w:r>
      <w:r>
        <w:rPr>
          <w:rtl w:val="true"/>
        </w:rPr>
        <w:t>כששה חודשים</w:t>
      </w:r>
      <w:r>
        <w:rPr>
          <w:rtl w:val="true"/>
        </w:rPr>
        <w:t xml:space="preserve">) </w:t>
      </w:r>
      <w:r>
        <w:rPr>
          <w:rtl w:val="true"/>
        </w:rPr>
        <w:t>ותו 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הנאשם בדברו האחרון</w:t>
      </w:r>
      <w:r>
        <w:rPr>
          <w:rtl w:val="true"/>
        </w:rPr>
        <w:t xml:space="preserve">, </w:t>
      </w:r>
      <w:r>
        <w:rPr>
          <w:rtl w:val="true"/>
        </w:rPr>
        <w:t>הביע חרטה על מעשיו וביקש את רחמי בית המשפט בעת גזירת דינו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 הענישה המתאים בעבירות הסתה ותמיכה בארגון טרור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ובטרם אדון במתחם העונשי הראוי ובמרכיביו</w:t>
      </w:r>
      <w:r>
        <w:rPr>
          <w:rtl w:val="true"/>
        </w:rPr>
        <w:t xml:space="preserve">, </w:t>
      </w:r>
      <w:r>
        <w:rPr>
          <w:rtl w:val="true"/>
        </w:rPr>
        <w:t>נדמה כי מעשיו של הנאשם מהווים אירוע עברייני אחד אשר יש לקבוע בגינו מתחם עונשי יחיד</w:t>
      </w:r>
      <w:r>
        <w:rPr>
          <w:rtl w:val="true"/>
        </w:rPr>
        <w:t xml:space="preserve">, </w:t>
      </w:r>
      <w:r>
        <w:rPr>
          <w:rtl w:val="true"/>
        </w:rPr>
        <w:t>בשל העובדה כי מדובר במסכת עבריינית אחת – הן בטיבה</w:t>
      </w:r>
      <w:r>
        <w:rPr>
          <w:rtl w:val="true"/>
        </w:rPr>
        <w:t xml:space="preserve">, </w:t>
      </w:r>
      <w:r>
        <w:rPr>
          <w:rtl w:val="true"/>
        </w:rPr>
        <w:t>הן במטרתה והן בדרך ביצועה</w:t>
      </w:r>
      <w:r>
        <w:rPr>
          <w:rtl w:val="true"/>
        </w:rPr>
        <w:t xml:space="preserve">. </w:t>
      </w:r>
      <w:r>
        <w:rPr>
          <w:rtl w:val="true"/>
        </w:rPr>
        <w:t>הפרדתה של כל נקישת מקלדת והגדרתה כ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tl w:val="true"/>
        </w:rPr>
        <w:t xml:space="preserve">" </w:t>
      </w:r>
      <w:r>
        <w:rPr>
          <w:rtl w:val="true"/>
        </w:rPr>
        <w:t>עברייני נפרד</w:t>
      </w:r>
      <w:r>
        <w:rPr>
          <w:rtl w:val="true"/>
        </w:rPr>
        <w:t xml:space="preserve">, </w:t>
      </w:r>
      <w:r>
        <w:rPr>
          <w:rtl w:val="true"/>
        </w:rPr>
        <w:t>יש בה</w:t>
      </w:r>
      <w:r>
        <w:rPr>
          <w:rtl w:val="true"/>
        </w:rPr>
        <w:t xml:space="preserve">, </w:t>
      </w:r>
      <w:r>
        <w:rPr>
          <w:rtl w:val="true"/>
        </w:rPr>
        <w:t>כך לטעמי</w:t>
      </w:r>
      <w:r>
        <w:rPr>
          <w:rtl w:val="true"/>
        </w:rPr>
        <w:t xml:space="preserve">, </w:t>
      </w:r>
      <w:r>
        <w:rPr>
          <w:rtl w:val="true"/>
        </w:rPr>
        <w:t>הפרדה מלאכותית שאין לעשותה</w:t>
      </w:r>
      <w:r>
        <w:rPr>
          <w:rtl w:val="true"/>
        </w:rPr>
        <w:t xml:space="preserve">. </w:t>
      </w:r>
      <w:r>
        <w:rPr>
          <w:rtl w:val="true"/>
        </w:rPr>
        <w:t>הנאשם הלם במקלדתו בטוהרו ובתומתו של השיח הציבורי</w:t>
      </w:r>
      <w:r>
        <w:rPr>
          <w:rtl w:val="true"/>
        </w:rPr>
        <w:t xml:space="preserve">, </w:t>
      </w:r>
      <w:r>
        <w:rPr>
          <w:rtl w:val="true"/>
        </w:rPr>
        <w:t>כפי שתוקף אלים מכה באגרופיו את קרבנו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כפי שאגרופי התוקף מהווים יחד אירוע עברייני יחיד</w:t>
      </w:r>
      <w:r>
        <w:rPr>
          <w:rtl w:val="true"/>
        </w:rPr>
        <w:t xml:space="preserve">, </w:t>
      </w:r>
      <w:r>
        <w:rPr>
          <w:rtl w:val="true"/>
        </w:rPr>
        <w:t>כך גם ייחשבו נקישות מקלדתו של הנאשם</w:t>
      </w:r>
      <w:r>
        <w:rPr>
          <w:rtl w:val="true"/>
        </w:rPr>
        <w:t xml:space="preserve">, </w:t>
      </w:r>
      <w:r>
        <w:rPr>
          <w:rtl w:val="true"/>
        </w:rPr>
        <w:t>כפי שצויין 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  <w:r>
        <w:rPr>
          <w:rtl w:val="true"/>
        </w:rPr>
        <w:t>בעבירות ההסתה לאלימות או טרור</w:t>
      </w:r>
      <w:r>
        <w:rPr>
          <w:rtl w:val="true"/>
        </w:rPr>
        <w:t xml:space="preserve">, </w:t>
      </w:r>
      <w:r>
        <w:rPr>
          <w:rtl w:val="true"/>
        </w:rPr>
        <w:t>כמו בעבירה של תמיכה בארגון טרור</w:t>
      </w:r>
      <w:r>
        <w:rPr>
          <w:rtl w:val="true"/>
        </w:rPr>
        <w:t xml:space="preserve">, </w:t>
      </w:r>
      <w:r>
        <w:rPr>
          <w:rtl w:val="true"/>
        </w:rPr>
        <w:t>מבקש המחוקק להגן על סדרי המדינה</w:t>
      </w:r>
      <w:r>
        <w:rPr>
          <w:rtl w:val="true"/>
        </w:rPr>
        <w:t xml:space="preserve">, </w:t>
      </w:r>
      <w:r>
        <w:rPr>
          <w:rtl w:val="true"/>
        </w:rPr>
        <w:t>על השלום והסדר הציבורי בה וכמובן</w:t>
      </w:r>
      <w:r>
        <w:rPr>
          <w:rtl w:val="true"/>
        </w:rPr>
        <w:t xml:space="preserve">- </w:t>
      </w:r>
      <w:r>
        <w:rPr>
          <w:rtl w:val="true"/>
        </w:rPr>
        <w:t>למנוע מעשי טרור ואלימות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hyperlink r:id="rId17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קובע לצידה של עבירת ההסתה </w:t>
      </w:r>
      <w:hyperlink r:id="rId18">
        <w:r>
          <w:rPr>
            <w:rStyle w:val="Hyperlink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 </w:t>
      </w:r>
      <w:r>
        <w:rPr>
          <w:rtl w:val="true"/>
        </w:rPr>
        <w:t>עונש של עד לחמש שנות מאסר</w:t>
      </w:r>
      <w:r>
        <w:rPr>
          <w:rtl w:val="true"/>
        </w:rPr>
        <w:t xml:space="preserve">. </w:t>
      </w:r>
      <w:r>
        <w:rPr>
          <w:rtl w:val="true"/>
        </w:rPr>
        <w:t>לצידה של עבירת תמיכה בארגון טרור</w:t>
      </w:r>
      <w:r>
        <w:rPr>
          <w:rtl w:val="true"/>
        </w:rPr>
        <w:t xml:space="preserve">, </w:t>
      </w:r>
      <w:r>
        <w:rPr>
          <w:rtl w:val="true"/>
        </w:rPr>
        <w:t>קובעת ה</w:t>
      </w:r>
      <w:hyperlink r:id="rId19">
        <w:r>
          <w:rPr>
            <w:rStyle w:val="Hyperlink"/>
            <w:color w:val="0000FF"/>
            <w:u w:val="single"/>
            <w:rtl w:val="true"/>
          </w:rPr>
          <w:t>פקודה למניעת טרור</w:t>
        </w:r>
      </w:hyperlink>
      <w:r>
        <w:rPr>
          <w:rtl w:val="true"/>
        </w:rPr>
        <w:t xml:space="preserve"> עונש מרבי של שלוש שנות מאסר</w:t>
      </w:r>
      <w:r>
        <w:rPr>
          <w:rtl w:val="true"/>
        </w:rPr>
        <w:t xml:space="preserve">. </w:t>
      </w:r>
      <w:r>
        <w:rPr>
          <w:rtl w:val="true"/>
        </w:rPr>
        <w:t>חומרת העונשים הקבועים לצדן של עבירות אלה מעיד על החומרה שהמחוקק רואה בעבירות אלה</w:t>
      </w:r>
      <w:r>
        <w:rPr>
          <w:rtl w:val="true"/>
        </w:rPr>
        <w:t xml:space="preserve">, </w:t>
      </w:r>
      <w:r>
        <w:rPr>
          <w:rtl w:val="true"/>
        </w:rPr>
        <w:t>ולא בכדי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מבצעיהן של עבירות ההסתה והתומכים בטרור מבקשים</w:t>
      </w:r>
      <w:r>
        <w:rPr>
          <w:rtl w:val="true"/>
        </w:rPr>
        <w:t xml:space="preserve">, </w:t>
      </w: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>לפגוע באושיותיה של המדינה וביסודותיה</w:t>
      </w:r>
      <w:r>
        <w:rPr>
          <w:rtl w:val="true"/>
        </w:rPr>
        <w:t xml:space="preserve">. </w:t>
      </w:r>
      <w:r>
        <w:rPr>
          <w:rtl w:val="true"/>
        </w:rPr>
        <w:t>הפגיעה הכרוכה בהן</w:t>
      </w:r>
      <w:r>
        <w:rPr>
          <w:rtl w:val="true"/>
        </w:rPr>
        <w:t xml:space="preserve">, </w:t>
      </w:r>
      <w:r>
        <w:rPr>
          <w:rtl w:val="true"/>
        </w:rPr>
        <w:t>היא בשני מישורים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במישור האישי</w:t>
      </w:r>
      <w:r>
        <w:rPr>
          <w:rtl w:val="true"/>
        </w:rPr>
        <w:t xml:space="preserve">, </w:t>
      </w:r>
      <w:r>
        <w:rPr>
          <w:rtl w:val="true"/>
        </w:rPr>
        <w:t>נפגעים  הפרטים</w:t>
      </w:r>
      <w:r>
        <w:rPr>
          <w:rtl w:val="true"/>
        </w:rPr>
        <w:t xml:space="preserve">, </w:t>
      </w:r>
      <w:r>
        <w:rPr>
          <w:rtl w:val="true"/>
        </w:rPr>
        <w:t>קרבנות העבירה הספציפיים</w:t>
      </w:r>
      <w:r>
        <w:rPr>
          <w:rtl w:val="true"/>
        </w:rPr>
        <w:t xml:space="preserve">, </w:t>
      </w:r>
      <w:r>
        <w:rPr>
          <w:rtl w:val="true"/>
        </w:rPr>
        <w:t>מושא ההסתה לאלימות וקרבנות הטרור</w:t>
      </w:r>
      <w:r>
        <w:rPr>
          <w:rtl w:val="true"/>
        </w:rPr>
        <w:t xml:space="preserve">. </w:t>
      </w:r>
      <w:r>
        <w:rPr>
          <w:rtl w:val="true"/>
        </w:rPr>
        <w:t>במישור הציבורי</w:t>
      </w:r>
      <w:r>
        <w:rPr>
          <w:rtl w:val="true"/>
        </w:rPr>
        <w:t xml:space="preserve">, </w:t>
      </w:r>
      <w:r>
        <w:rPr>
          <w:rtl w:val="true"/>
        </w:rPr>
        <w:t>הפגיעה היא במדינה</w:t>
      </w:r>
      <w:r>
        <w:rPr>
          <w:rtl w:val="true"/>
        </w:rPr>
        <w:t xml:space="preserve">, </w:t>
      </w:r>
      <w:r>
        <w:rPr>
          <w:rtl w:val="true"/>
        </w:rPr>
        <w:t>בלגיטימיות של קיומה</w:t>
      </w:r>
      <w:r>
        <w:rPr>
          <w:rtl w:val="true"/>
        </w:rPr>
        <w:t xml:space="preserve">, </w:t>
      </w:r>
      <w:r>
        <w:rPr>
          <w:rtl w:val="true"/>
        </w:rPr>
        <w:t>בשלומו של הציבור</w:t>
      </w:r>
      <w:r>
        <w:rPr>
          <w:rtl w:val="true"/>
        </w:rPr>
        <w:t xml:space="preserve">, </w:t>
      </w:r>
      <w:r>
        <w:rPr>
          <w:rtl w:val="true"/>
        </w:rPr>
        <w:t>בביטחון ובסדר הציבורי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הפגיעה בערכים מוגנים אלה אינה חוסה תחת כנפיו הרחבות של חופש הביטוי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לחופש הביטוי מעמד עליון במדינתנו כמדינה דמוקרטית ושוחרת חרות</w:t>
      </w:r>
      <w:r>
        <w:rPr>
          <w:rtl w:val="true"/>
        </w:rPr>
        <w:t xml:space="preserve">, </w:t>
      </w:r>
      <w:r>
        <w:rPr>
          <w:rtl w:val="true"/>
        </w:rPr>
        <w:t>וככזו</w:t>
      </w:r>
      <w:r>
        <w:rPr>
          <w:rtl w:val="true"/>
        </w:rPr>
        <w:t xml:space="preserve">, </w:t>
      </w:r>
      <w:r>
        <w:rPr>
          <w:rtl w:val="true"/>
        </w:rPr>
        <w:t>עליה לגלות סובלנות גם כלפי ביטויים קשים שאינם קלים לשומע</w:t>
      </w:r>
      <w:r>
        <w:rPr>
          <w:rtl w:val="true"/>
        </w:rPr>
        <w:t xml:space="preserve">, </w:t>
      </w:r>
      <w:r>
        <w:rPr>
          <w:rtl w:val="true"/>
        </w:rPr>
        <w:t>ולא לאסור כל ביטוי שהדעת אינה נוחה הימנו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חופש הביטוי איננו חופש מוחלט ואין משמעו הפקרות</w:t>
      </w:r>
      <w:r>
        <w:rPr>
          <w:rtl w:val="true"/>
        </w:rPr>
        <w:t xml:space="preserve">, </w:t>
      </w:r>
      <w:r>
        <w:rPr>
          <w:rtl w:val="true"/>
        </w:rPr>
        <w:t>הוא אינו היתר למעשים אלימים ולטרור ואכן לא אחת הוא מצוי במאבק עם הערכים של שלום הציבור ובטחונו</w:t>
      </w:r>
      <w:r>
        <w:rPr>
          <w:rtl w:val="true"/>
        </w:rPr>
        <w:t xml:space="preserve">. </w:t>
      </w:r>
      <w:r>
        <w:rPr>
          <w:rtl w:val="true"/>
        </w:rPr>
        <w:t>משום כך</w:t>
      </w:r>
      <w:r>
        <w:rPr>
          <w:rtl w:val="true"/>
        </w:rPr>
        <w:t xml:space="preserve">, </w:t>
      </w:r>
      <w:r>
        <w:rPr>
          <w:rtl w:val="true"/>
        </w:rPr>
        <w:t>ישנם ביטויים שלא יוכלו לחסות תחת הגנתו של חופש הביטוי</w:t>
      </w:r>
      <w:r>
        <w:rPr>
          <w:rtl w:val="true"/>
        </w:rPr>
        <w:t xml:space="preserve">, </w:t>
      </w:r>
      <w:r>
        <w:rPr>
          <w:rtl w:val="true"/>
        </w:rPr>
        <w:t>בהיותם שומטים את הקרקע תחת אותה דמוקרטיה</w:t>
      </w:r>
      <w:r>
        <w:rPr>
          <w:rtl w:val="true"/>
        </w:rPr>
        <w:t xml:space="preserve">, </w:t>
      </w:r>
      <w:r>
        <w:rPr>
          <w:rtl w:val="true"/>
        </w:rPr>
        <w:t>שבחסותה הם מושמעים</w:t>
      </w:r>
      <w:r>
        <w:rPr>
          <w:rtl w:val="true"/>
        </w:rPr>
        <w:t xml:space="preserve">. </w:t>
      </w:r>
      <w:r>
        <w:rPr>
          <w:rtl w:val="true"/>
        </w:rPr>
        <w:t>יפים לעניין זה דברי כב</w:t>
      </w:r>
      <w:r>
        <w:rPr>
          <w:rtl w:val="true"/>
        </w:rPr>
        <w:t xml:space="preserve">' </w:t>
      </w:r>
      <w:r>
        <w:rPr>
          <w:rtl w:val="true"/>
        </w:rPr>
        <w:t xml:space="preserve">הנשיא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ברק ב</w:t>
      </w:r>
      <w:hyperlink r:id="rId20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5934/05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מלכה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>
          <w:rtl w:val="true"/>
        </w:rPr>
        <w:t>פורסם במאגרים המשפטיים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>]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שמירת הדמוקרטיה מחייבת שמירה על חופש הביטוי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שמירה על חופש הביטוי מחייבת שמירה על הדמוקרטיה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השימוש ברטוריקה של דמוקרטיה וזכויות אדם כבסיס לפעילות הפוגעת בדמוקרטיה ובזכויות אדם הוא מרשם בדוק להרס הדמוקרטיה מתוכה היא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הדמוקרטיה מכירה בזכות הביטוי וההפגנה של כל אדם בה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היא תעשה הכול כדי לכבד זכות 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 דמוקרטיה לא תאפשר שימוש בזכויות שהיא מעניקה כדי להביא להרס עצמי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דמוקרטיה צריכה להיות סובלנית גם לחסרי הסובלנות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 דמוקרטיה אינה צריכה לאפשר בסובלנותה את עצם חיסולה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כאלה הם מעשיו של הנאשם שלפניי</w:t>
      </w:r>
      <w:r>
        <w:rPr>
          <w:rtl w:val="true"/>
        </w:rPr>
        <w:t xml:space="preserve">- </w:t>
      </w:r>
      <w:r>
        <w:rPr>
          <w:rtl w:val="true"/>
        </w:rPr>
        <w:t>מבקשים את חיסולה של הדמוקרטיה ומעודדים פגיעה בחיי אדם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הפגיעה והנזק שיכול וגרמו מעשיו של הנאשם ניכרים ונלמדים מכתב האישום</w:t>
      </w:r>
      <w:r>
        <w:rPr>
          <w:rtl w:val="true"/>
        </w:rPr>
        <w:t xml:space="preserve">. </w:t>
      </w:r>
      <w:r>
        <w:rPr>
          <w:rtl w:val="true"/>
        </w:rPr>
        <w:t>מובן</w:t>
      </w:r>
      <w:r>
        <w:rPr>
          <w:rtl w:val="true"/>
        </w:rPr>
        <w:t xml:space="preserve">, </w:t>
      </w:r>
      <w:r>
        <w:rPr>
          <w:rtl w:val="true"/>
        </w:rPr>
        <w:t>שהנאשם אינו הגורם בלתו אין לאירועי הטרור המתוארים ברקע הדברים ואשר אפיינו את התקופה המתוחה ששררה בפרק הזמן הרלבנטי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מעשיו והעבירות שביצע נתנו רוח גבית לאלה שביצעו בפועל את מעשי הטרור ושפיכות הדמים</w:t>
      </w:r>
      <w:r>
        <w:rPr>
          <w:rtl w:val="true"/>
        </w:rPr>
        <w:t xml:space="preserve">. </w:t>
      </w:r>
      <w:r>
        <w:rPr>
          <w:rtl w:val="true"/>
        </w:rPr>
        <w:t>מעשים אלה נותנים גושפנקא ומעודדים את קוראיהם</w:t>
      </w:r>
      <w:r>
        <w:rPr>
          <w:rtl w:val="true"/>
        </w:rPr>
        <w:t xml:space="preserve">, </w:t>
      </w:r>
      <w:r>
        <w:rPr>
          <w:rtl w:val="true"/>
        </w:rPr>
        <w:t>עוקביהם ו</w:t>
      </w:r>
      <w:r>
        <w:rPr>
          <w:rtl w:val="true"/>
        </w:rPr>
        <w:t>"</w:t>
      </w:r>
      <w:r>
        <w:rPr>
          <w:rtl w:val="true"/>
        </w:rPr>
        <w:t>מחבביהם</w:t>
      </w:r>
      <w:r>
        <w:rPr>
          <w:rtl w:val="true"/>
        </w:rPr>
        <w:t xml:space="preserve">" </w:t>
      </w:r>
      <w:r>
        <w:rPr>
          <w:rtl w:val="true"/>
        </w:rPr>
        <w:t>לקום ולעשות מעשה</w:t>
      </w:r>
      <w:r>
        <w:rPr>
          <w:rtl w:val="true"/>
        </w:rPr>
        <w:t xml:space="preserve">. </w:t>
      </w:r>
      <w:r>
        <w:rPr>
          <w:rtl w:val="true"/>
        </w:rPr>
        <w:t>לכך קוראים פרסומיו של הנאשם</w:t>
      </w:r>
      <w:r>
        <w:rPr>
          <w:rtl w:val="true"/>
        </w:rPr>
        <w:t xml:space="preserve">, </w:t>
      </w:r>
      <w:r>
        <w:rPr>
          <w:rtl w:val="true"/>
        </w:rPr>
        <w:t>ולמטרה זו מכוונים דבריו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את מעשיו של הנאשם יש לבחון גם על רקע המתיחות הכבדה ששרתה אותה העת וה</w:t>
      </w:r>
      <w:r>
        <w:rPr>
          <w:rtl w:val="true"/>
        </w:rPr>
        <w:t>"</w:t>
      </w:r>
      <w:r>
        <w:rPr>
          <w:rtl w:val="true"/>
        </w:rPr>
        <w:t>אדמה הבוערת</w:t>
      </w:r>
      <w:r>
        <w:rPr>
          <w:rtl w:val="true"/>
        </w:rPr>
        <w:t xml:space="preserve">" </w:t>
      </w:r>
      <w:r>
        <w:rPr>
          <w:rtl w:val="true"/>
        </w:rPr>
        <w:t>אשר חוותה בירת ישראל בעת שביצע את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ימי מבצע </w:t>
      </w:r>
      <w:r>
        <w:rPr>
          <w:rtl w:val="true"/>
        </w:rPr>
        <w:t>"</w:t>
      </w:r>
      <w:r>
        <w:rPr>
          <w:rtl w:val="true"/>
        </w:rPr>
        <w:t>צוק איתן</w:t>
      </w:r>
      <w:r>
        <w:rPr>
          <w:rtl w:val="true"/>
        </w:rPr>
        <w:t xml:space="preserve">" </w:t>
      </w:r>
      <w:r>
        <w:rPr>
          <w:rtl w:val="true"/>
        </w:rPr>
        <w:t>ואירועי הטרור שנסקרו בתמצית לעיל</w:t>
      </w:r>
      <w:r>
        <w:rPr>
          <w:rtl w:val="true"/>
        </w:rPr>
        <w:t xml:space="preserve">. </w:t>
      </w:r>
      <w:r>
        <w:rPr>
          <w:rtl w:val="true"/>
        </w:rPr>
        <w:t>אותה תקופה אופיינה</w:t>
      </w:r>
      <w:r>
        <w:rPr>
          <w:rtl w:val="true"/>
        </w:rPr>
        <w:t xml:space="preserve">, </w:t>
      </w:r>
      <w:r>
        <w:rPr>
          <w:rtl w:val="true"/>
        </w:rPr>
        <w:t>מעבר לפיגועים הקשים המתוארים לעיל</w:t>
      </w:r>
      <w:r>
        <w:rPr>
          <w:rtl w:val="true"/>
        </w:rPr>
        <w:t xml:space="preserve">, </w:t>
      </w:r>
      <w:r>
        <w:rPr>
          <w:rtl w:val="true"/>
        </w:rPr>
        <w:t>גם בהתקהלויות אלימות</w:t>
      </w:r>
      <w:r>
        <w:rPr>
          <w:rtl w:val="true"/>
        </w:rPr>
        <w:t xml:space="preserve">, </w:t>
      </w:r>
      <w:r>
        <w:rPr>
          <w:rtl w:val="true"/>
        </w:rPr>
        <w:t>ביידויי בקבוקי תבערה והתפרעויות</w:t>
      </w:r>
      <w:r>
        <w:rPr>
          <w:rtl w:val="true"/>
        </w:rPr>
        <w:t xml:space="preserve">, </w:t>
      </w:r>
      <w:r>
        <w:rPr>
          <w:rtl w:val="true"/>
        </w:rPr>
        <w:t xml:space="preserve">כשהרקע הוא מבצע </w:t>
      </w:r>
      <w:r>
        <w:rPr>
          <w:rtl w:val="true"/>
        </w:rPr>
        <w:t>"</w:t>
      </w:r>
      <w:r>
        <w:rPr>
          <w:rtl w:val="true"/>
        </w:rPr>
        <w:t>צוק איתן</w:t>
      </w:r>
      <w:r>
        <w:rPr>
          <w:rtl w:val="true"/>
        </w:rPr>
        <w:t xml:space="preserve">", </w:t>
      </w:r>
      <w:r>
        <w:rPr>
          <w:rtl w:val="true"/>
        </w:rPr>
        <w:t>וכל זאת במטרה לפגוע בסדר ובביטחון הציבורי</w:t>
      </w:r>
      <w:r>
        <w:rPr>
          <w:rtl w:val="true"/>
        </w:rPr>
        <w:t xml:space="preserve">. </w:t>
      </w:r>
      <w:r>
        <w:rPr>
          <w:rtl w:val="true"/>
        </w:rPr>
        <w:t>נסיבות אלה מגבירות את מידת השפעת קריאותיו של הנאשם לביצוע מעשים של טרור ואלימות</w:t>
      </w:r>
      <w:r>
        <w:rPr>
          <w:rtl w:val="true"/>
        </w:rPr>
        <w:t xml:space="preserve">. </w:t>
      </w:r>
      <w:r>
        <w:rPr>
          <w:rtl w:val="true"/>
        </w:rPr>
        <w:t>פוטנציאל הפגיעה וההתלקחות מקריאותיו של הנאשם לטרור הנו גבוה וממשי</w:t>
      </w:r>
      <w:r>
        <w:rPr>
          <w:rtl w:val="true"/>
        </w:rPr>
        <w:t xml:space="preserve">, </w:t>
      </w:r>
      <w:r>
        <w:rPr>
          <w:rtl w:val="true"/>
        </w:rPr>
        <w:t>וכל זאת על רקע המצב הביטחוני הנפיץ באותה עת</w:t>
      </w:r>
      <w:r>
        <w:rPr>
          <w:rtl w:val="true"/>
        </w:rPr>
        <w:t xml:space="preserve">, </w:t>
      </w:r>
      <w:r>
        <w:rPr>
          <w:rtl w:val="true"/>
        </w:rPr>
        <w:t>גבוה במיוחד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בחינת מועדי הפרסומים שיצאו תחת ידו של הנאשם ושזירתם עם מועדי אירועי הטרור מעוררת תחושה קשה ביותר</w:t>
      </w:r>
      <w:r>
        <w:rPr>
          <w:rtl w:val="true"/>
        </w:rPr>
        <w:t xml:space="preserve">. </w:t>
      </w:r>
      <w:r>
        <w:rPr>
          <w:rtl w:val="true"/>
        </w:rPr>
        <w:t>העידוד</w:t>
      </w:r>
      <w:r>
        <w:rPr>
          <w:rtl w:val="true"/>
        </w:rPr>
        <w:t xml:space="preserve">, </w:t>
      </w:r>
      <w:r>
        <w:rPr>
          <w:rtl w:val="true"/>
        </w:rPr>
        <w:t>השבח והכבוד שהוא חולק למחבלים בפרסומיו</w:t>
      </w:r>
      <w:r>
        <w:rPr>
          <w:rtl w:val="true"/>
        </w:rPr>
        <w:t xml:space="preserve">, </w:t>
      </w:r>
      <w:r>
        <w:rPr>
          <w:rtl w:val="true"/>
        </w:rPr>
        <w:t>בסמוך ומיד לאחר רצח אזרחים חפים מפשע</w:t>
      </w:r>
      <w:r>
        <w:rPr>
          <w:rtl w:val="true"/>
        </w:rPr>
        <w:t xml:space="preserve">, </w:t>
      </w:r>
      <w:r>
        <w:rPr>
          <w:rtl w:val="true"/>
        </w:rPr>
        <w:t>חלקם תינוקות בני יומם</w:t>
      </w:r>
      <w:r>
        <w:rPr>
          <w:rtl w:val="true"/>
        </w:rPr>
        <w:t xml:space="preserve">, </w:t>
      </w:r>
      <w:r>
        <w:rPr>
          <w:rtl w:val="true"/>
        </w:rPr>
        <w:t>מעבר לחומרתם לכשעצמם</w:t>
      </w:r>
      <w:r>
        <w:rPr>
          <w:rtl w:val="true"/>
        </w:rPr>
        <w:t xml:space="preserve">, </w:t>
      </w:r>
      <w:r>
        <w:rPr>
          <w:rtl w:val="true"/>
        </w:rPr>
        <w:t>מהווים גם תמריץ וקריאה ל</w:t>
      </w:r>
      <w:r>
        <w:rPr>
          <w:rtl w:val="true"/>
        </w:rPr>
        <w:t>"</w:t>
      </w:r>
      <w:r>
        <w:rPr>
          <w:rtl w:val="true"/>
        </w:rPr>
        <w:t>שהידים</w:t>
      </w:r>
      <w:r>
        <w:rPr>
          <w:rtl w:val="true"/>
        </w:rPr>
        <w:t xml:space="preserve">" </w:t>
      </w:r>
      <w:r>
        <w:rPr>
          <w:rtl w:val="true"/>
        </w:rPr>
        <w:t>הבאים העשויים להיענות לקריאה ולבצע מעשים דומים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הרשת החברתית כמוה ככיכר העיר</w:t>
      </w:r>
      <w:r>
        <w:rPr>
          <w:rtl w:val="true"/>
        </w:rPr>
        <w:t xml:space="preserve">. </w:t>
      </w:r>
      <w:r>
        <w:rPr>
          <w:rtl w:val="true"/>
        </w:rPr>
        <w:t>מידת ההשפעה של עבירות ההסתה נגזרת ממידת החשיפה לה זוכים דברי ההסתה והטרור</w:t>
      </w:r>
      <w:r>
        <w:rPr>
          <w:rtl w:val="true"/>
        </w:rPr>
        <w:t xml:space="preserve">.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נדרש המפרסם</w:t>
      </w:r>
      <w:r>
        <w:rPr>
          <w:rtl w:val="true"/>
        </w:rPr>
        <w:t xml:space="preserve">- </w:t>
      </w:r>
      <w:r>
        <w:rPr>
          <w:rtl w:val="true"/>
        </w:rPr>
        <w:t>המסית לחפש ולמצוא במה מתאימה ופומבית לדבריו</w:t>
      </w:r>
      <w:r>
        <w:rPr>
          <w:rtl w:val="true"/>
        </w:rPr>
        <w:t xml:space="preserve">. </w:t>
      </w:r>
      <w:r>
        <w:rPr>
          <w:rtl w:val="true"/>
        </w:rPr>
        <w:t>נואמים נדרשו לקהל שיצטופף ויטה אוזן לנאומיהם בכיכר וכותבים נדרשו לכתב עת שייאות לפרסם את מאמריהם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אולם כיום</w:t>
      </w:r>
      <w:r>
        <w:rPr>
          <w:rtl w:val="true"/>
        </w:rPr>
        <w:t xml:space="preserve">, </w:t>
      </w:r>
      <w:r>
        <w:rPr>
          <w:rtl w:val="true"/>
        </w:rPr>
        <w:t>המסית באמצעות הרשת החברתית לא נדרש למצוא לעצמו במה או קהל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בקלות רבה</w:t>
      </w:r>
      <w:r>
        <w:rPr>
          <w:rtl w:val="true"/>
        </w:rPr>
        <w:t xml:space="preserve">, </w:t>
      </w:r>
      <w:r>
        <w:rPr>
          <w:rtl w:val="true"/>
        </w:rPr>
        <w:t>בדלת אמותיו ובמחשבו האישי</w:t>
      </w:r>
      <w:r>
        <w:rPr>
          <w:rtl w:val="true"/>
        </w:rPr>
        <w:t xml:space="preserve">, </w:t>
      </w:r>
      <w:r>
        <w:rPr>
          <w:rtl w:val="true"/>
        </w:rPr>
        <w:t>מבלי לצאת אל המרחב הציבורי ובאבחת הקלדה</w:t>
      </w:r>
      <w:r>
        <w:rPr>
          <w:rtl w:val="true"/>
        </w:rPr>
        <w:t xml:space="preserve">, </w:t>
      </w:r>
      <w:r>
        <w:rPr>
          <w:rtl w:val="true"/>
        </w:rPr>
        <w:t>מופצים דברי הבלע בתפוצה רחבה במרחבי הרשת החברתית</w:t>
      </w:r>
      <w:r>
        <w:rPr>
          <w:rtl w:val="true"/>
        </w:rPr>
        <w:t xml:space="preserve">. </w:t>
      </w:r>
      <w:r>
        <w:rPr>
          <w:rtl w:val="true"/>
        </w:rPr>
        <w:t>קלות הפרסום מחייבת כי הענישה תהא מרתיעה</w:t>
      </w:r>
      <w:r>
        <w:rPr>
          <w:rtl w:val="true"/>
        </w:rPr>
        <w:t xml:space="preserve">, </w:t>
      </w:r>
      <w:r>
        <w:rPr>
          <w:rtl w:val="true"/>
        </w:rPr>
        <w:t>ויידע כל מסית</w:t>
      </w:r>
      <w:r>
        <w:rPr>
          <w:rtl w:val="true"/>
        </w:rPr>
        <w:t xml:space="preserve">, </w:t>
      </w:r>
      <w:r>
        <w:rPr>
          <w:rtl w:val="true"/>
        </w:rPr>
        <w:t>כי דברים הנושאים בחובם פגיעה בביטחון ובשלום</w:t>
      </w:r>
      <w:r>
        <w:rPr>
          <w:rtl w:val="true"/>
        </w:rPr>
        <w:t xml:space="preserve">, </w:t>
      </w:r>
      <w:r>
        <w:rPr>
          <w:rtl w:val="true"/>
        </w:rPr>
        <w:t>קריאה לביצוע מעשי טרור וגזענות</w:t>
      </w:r>
      <w:r>
        <w:rPr>
          <w:rtl w:val="true"/>
        </w:rPr>
        <w:t xml:space="preserve">, </w:t>
      </w:r>
      <w:r>
        <w:rPr>
          <w:rtl w:val="true"/>
        </w:rPr>
        <w:t>יזכו לענישה הולמת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הקלות שבפרסום דברי ההסתה ברשת הפייסבוק</w:t>
      </w:r>
      <w:r>
        <w:rPr>
          <w:rtl w:val="true"/>
        </w:rPr>
        <w:t xml:space="preserve">, </w:t>
      </w:r>
      <w:r>
        <w:rPr>
          <w:rtl w:val="true"/>
        </w:rPr>
        <w:t xml:space="preserve">נתן דרור לתופעה שרווחה במהלך תקופת </w:t>
      </w:r>
      <w:r>
        <w:rPr>
          <w:rtl w:val="true"/>
        </w:rPr>
        <w:t>"</w:t>
      </w:r>
      <w:r>
        <w:rPr>
          <w:rtl w:val="true"/>
        </w:rPr>
        <w:t>צוק איתן</w:t>
      </w:r>
      <w:r>
        <w:rPr>
          <w:rtl w:val="true"/>
        </w:rPr>
        <w:t xml:space="preserve">", </w:t>
      </w:r>
      <w:r>
        <w:rPr>
          <w:rtl w:val="true"/>
        </w:rPr>
        <w:t>של פרסומי הסתה רבים על ידי אחרים</w:t>
      </w:r>
      <w:r>
        <w:rPr>
          <w:rtl w:val="true"/>
        </w:rPr>
        <w:t xml:space="preserve">, </w:t>
      </w:r>
      <w:r>
        <w:rPr>
          <w:rtl w:val="true"/>
        </w:rPr>
        <w:t>שנעצרו ומשפטיהם עדיין מתבררים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הוא אדם משכיל</w:t>
      </w:r>
      <w:r>
        <w:rPr>
          <w:rtl w:val="true"/>
        </w:rPr>
        <w:t xml:space="preserve">, </w:t>
      </w:r>
      <w:r>
        <w:rPr>
          <w:rtl w:val="true"/>
        </w:rPr>
        <w:t>אשר עשה שימוש בכוח שמקנה לו הרשת החברתית</w:t>
      </w:r>
      <w:r>
        <w:rPr>
          <w:rtl w:val="true"/>
        </w:rPr>
        <w:t xml:space="preserve">, </w:t>
      </w:r>
      <w:r>
        <w:rPr>
          <w:rtl w:val="true"/>
        </w:rPr>
        <w:t>במרחב האינטרנטי</w:t>
      </w:r>
      <w:r>
        <w:rPr>
          <w:rtl w:val="true"/>
        </w:rPr>
        <w:t xml:space="preserve">. </w:t>
      </w:r>
      <w:r>
        <w:rPr>
          <w:rtl w:val="true"/>
        </w:rPr>
        <w:t>מידת שליטתו בפרסומיו הייתה בלעדית</w:t>
      </w:r>
      <w:r>
        <w:rPr>
          <w:rtl w:val="true"/>
        </w:rPr>
        <w:t xml:space="preserve">. </w:t>
      </w:r>
      <w:r>
        <w:rPr>
          <w:rtl w:val="true"/>
        </w:rPr>
        <w:t>כמי שהחזיק וניהל את דף הפייסבוק האישי שלו ושלט בו לבדו</w:t>
      </w:r>
      <w:r>
        <w:rPr>
          <w:rtl w:val="true"/>
        </w:rPr>
        <w:t xml:space="preserve">. </w:t>
      </w:r>
      <w:r>
        <w:rPr>
          <w:rtl w:val="true"/>
        </w:rPr>
        <w:t>שליטתו התפרסה גם על התגובות שהתקבלו לפרסומיו</w:t>
      </w:r>
      <w:r>
        <w:rPr>
          <w:rtl w:val="true"/>
        </w:rPr>
        <w:t xml:space="preserve">, </w:t>
      </w:r>
      <w:r>
        <w:rPr>
          <w:rtl w:val="true"/>
        </w:rPr>
        <w:t>אותן היה בידיו למחוק</w:t>
      </w:r>
      <w:r>
        <w:rPr>
          <w:rtl w:val="true"/>
        </w:rPr>
        <w:t xml:space="preserve">, </w:t>
      </w:r>
      <w:r>
        <w:rPr>
          <w:rtl w:val="true"/>
        </w:rPr>
        <w:t>אך הוא בחר שלא לעשות כן</w:t>
      </w:r>
      <w:r>
        <w:rPr>
          <w:rtl w:val="true"/>
        </w:rPr>
        <w:t xml:space="preserve">. </w:t>
      </w:r>
      <w:r>
        <w:rPr>
          <w:rtl w:val="true"/>
        </w:rPr>
        <w:t>תחת זאת</w:t>
      </w:r>
      <w:r>
        <w:rPr>
          <w:rtl w:val="true"/>
        </w:rPr>
        <w:t xml:space="preserve">, </w:t>
      </w:r>
      <w:r>
        <w:rPr>
          <w:rtl w:val="true"/>
        </w:rPr>
        <w:t>המשיך לפרסם עוד דברי בלע ועוד קריאות להרג ואלימות</w:t>
      </w:r>
      <w:r>
        <w:rPr>
          <w:rtl w:val="true"/>
        </w:rPr>
        <w:t xml:space="preserve">, </w:t>
      </w:r>
      <w:r>
        <w:rPr>
          <w:rtl w:val="true"/>
        </w:rPr>
        <w:t>כמפורט בכתב 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קריאותיו של הנאשם לביצוע מעשי הרג ושפיכות דמים הן חד משמעיות וברורות</w:t>
      </w:r>
      <w:r>
        <w:rPr>
          <w:rtl w:val="true"/>
        </w:rPr>
        <w:t xml:space="preserve">, </w:t>
      </w:r>
      <w:r>
        <w:rPr>
          <w:rtl w:val="true"/>
        </w:rPr>
        <w:t>הנאשם קורא לרצח והרג ומשבח את אלה שעשו זאת</w:t>
      </w:r>
      <w:r>
        <w:rPr>
          <w:rtl w:val="true"/>
        </w:rPr>
        <w:t xml:space="preserve">. </w:t>
      </w:r>
      <w:r>
        <w:rPr>
          <w:rtl w:val="true"/>
        </w:rPr>
        <w:t>אין ספק בכוונת דבריו</w:t>
      </w:r>
      <w:r>
        <w:rPr>
          <w:rtl w:val="true"/>
        </w:rPr>
        <w:t xml:space="preserve">, </w:t>
      </w:r>
      <w:r>
        <w:rPr>
          <w:rtl w:val="true"/>
        </w:rPr>
        <w:t>ואין בהם אמירות שיכולות להשתמע לשתי פנים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ביקש הנאשם להפיץ את משנתו האידאולוגית</w:t>
      </w:r>
      <w:r>
        <w:rPr>
          <w:rtl w:val="true"/>
        </w:rPr>
        <w:t xml:space="preserve">, </w:t>
      </w:r>
      <w:r>
        <w:rPr>
          <w:rtl w:val="true"/>
        </w:rPr>
        <w:t>אשר במהותה קוראת לביצוע מעשי אלימות וטרור ומעודדת את מבצעיהן</w:t>
      </w:r>
      <w:r>
        <w:rPr>
          <w:rtl w:val="true"/>
        </w:rPr>
        <w:t xml:space="preserve">. </w:t>
      </w:r>
      <w:r>
        <w:rPr>
          <w:rtl w:val="true"/>
        </w:rPr>
        <w:t>העובדה כי מדובר בעבריינות אידאולוגית</w:t>
      </w:r>
      <w:r>
        <w:rPr>
          <w:rtl w:val="true"/>
        </w:rPr>
        <w:t xml:space="preserve">, </w:t>
      </w:r>
      <w:r>
        <w:rPr>
          <w:rtl w:val="true"/>
        </w:rPr>
        <w:t>מהווה נסיבה נוספת לחומרה</w:t>
      </w:r>
      <w:r>
        <w:rPr>
          <w:rtl w:val="true"/>
        </w:rPr>
        <w:t xml:space="preserve">, </w:t>
      </w:r>
      <w:r>
        <w:rPr>
          <w:rtl w:val="true"/>
        </w:rPr>
        <w:t>ומחייבת מתן משקל משמעותי גם לשיקול של הרתעת הרבים מביצוע מעשים דומים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עבירות דומות לאלה</w:t>
      </w:r>
      <w:r>
        <w:rPr>
          <w:rtl w:val="true"/>
        </w:rPr>
        <w:t xml:space="preserve">, </w:t>
      </w:r>
      <w:r>
        <w:rPr>
          <w:rtl w:val="true"/>
        </w:rPr>
        <w:t>נדונו לאחרונה בבית המשפט המחוזי 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30980-03-14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ראאד סלאח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במאגרים המשפטיים</w:t>
      </w:r>
      <w:r>
        <w:rPr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10.11.14</w:t>
      </w:r>
      <w:r>
        <w:rPr>
          <w:rtl w:val="true"/>
        </w:rPr>
        <w:t xml:space="preserve">). </w:t>
      </w:r>
      <w:r>
        <w:rPr>
          <w:rtl w:val="true"/>
        </w:rPr>
        <w:t>באותו מקרה הורשע הנאשם בעבירות של הסתה לגזענות והסתה לאלימות</w:t>
      </w:r>
      <w:r>
        <w:rPr>
          <w:rtl w:val="true"/>
        </w:rPr>
        <w:t xml:space="preserve">. </w:t>
      </w:r>
      <w:r>
        <w:rPr>
          <w:rtl w:val="true"/>
        </w:rPr>
        <w:t>הנאשם באותו מקרה נשא נאום באוזני מאות אנשים שהתכנסו ובנוכחות אמצעי תקשורת רבים</w:t>
      </w:r>
      <w:r>
        <w:rPr>
          <w:rtl w:val="true"/>
        </w:rPr>
        <w:t xml:space="preserve">. </w:t>
      </w:r>
      <w:r>
        <w:rPr>
          <w:rtl w:val="true"/>
        </w:rPr>
        <w:t xml:space="preserve">הנאשם הטיף באותו אירוע לעלילת דם שמבצעת ישראל בילדים וכן קרא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להוציא לדרך אינתיפאדה אסלאמית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העבירות שנדונו באותו פסק דין דומות וחופפות את העבירות שלפניי על אף שהיקפן הכמותי והתפאורה הנסיבתית שונים</w:t>
      </w:r>
      <w:r>
        <w:rPr>
          <w:rtl w:val="true"/>
        </w:rPr>
        <w:t xml:space="preserve">. </w:t>
      </w:r>
      <w:r>
        <w:rPr>
          <w:rtl w:val="true"/>
        </w:rPr>
        <w:t>כמו באותו מקרה</w:t>
      </w:r>
      <w:r>
        <w:rPr>
          <w:rtl w:val="true"/>
        </w:rPr>
        <w:t xml:space="preserve">, </w:t>
      </w:r>
      <w:r>
        <w:rPr>
          <w:rtl w:val="true"/>
        </w:rPr>
        <w:t>גם כאן הפיץ הנאשם את דברי ההסתה ברבים</w:t>
      </w:r>
      <w:r>
        <w:rPr>
          <w:rtl w:val="true"/>
        </w:rPr>
        <w:t xml:space="preserve">, </w:t>
      </w:r>
      <w:r>
        <w:rPr>
          <w:rtl w:val="true"/>
        </w:rPr>
        <w:t>קרא לאלימות וטרור וביקש לעודד ולהמריץ לכך</w:t>
      </w:r>
      <w:r>
        <w:rPr>
          <w:rtl w:val="true"/>
        </w:rPr>
        <w:t xml:space="preserve">. </w:t>
      </w:r>
      <w:r>
        <w:rPr>
          <w:rtl w:val="true"/>
        </w:rPr>
        <w:t>מטרתו היא אותה מטרה</w:t>
      </w:r>
      <w:r>
        <w:rPr>
          <w:rtl w:val="true"/>
        </w:rPr>
        <w:t xml:space="preserve">, </w:t>
      </w:r>
      <w:r>
        <w:rPr>
          <w:rtl w:val="true"/>
        </w:rPr>
        <w:t xml:space="preserve">האידאולוגיה שבה נקט </w:t>
      </w:r>
      <w:r>
        <w:rPr>
          <w:rtl w:val="true"/>
        </w:rPr>
        <w:t xml:space="preserve">-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ההבדלים העיקריים הם הבמה והדרך בה יצאו דברי ההסתה לאור והיות ההסתה בודדת או שמדובר במקרים רבים</w:t>
      </w:r>
      <w:r>
        <w:rPr>
          <w:rtl w:val="true"/>
        </w:rPr>
        <w:t xml:space="preserve">. </w:t>
      </w:r>
      <w:r>
        <w:rPr>
          <w:rtl w:val="true"/>
        </w:rPr>
        <w:t>בעוד שסאלח נדרש לצאת אל הקהל ולכרוז בפניו ברחובה של עיר</w:t>
      </w:r>
      <w:r>
        <w:rPr>
          <w:rtl w:val="true"/>
        </w:rPr>
        <w:t xml:space="preserve">, </w:t>
      </w:r>
      <w:r>
        <w:rPr>
          <w:rtl w:val="true"/>
        </w:rPr>
        <w:t>הנאשם לא נדרש לכך וביצע  את העבירות מתוך דלת אמותיו</w:t>
      </w:r>
      <w:r>
        <w:rPr>
          <w:rtl w:val="true"/>
        </w:rPr>
        <w:t xml:space="preserve">, </w:t>
      </w:r>
      <w:r>
        <w:rPr>
          <w:rtl w:val="true"/>
        </w:rPr>
        <w:t>באמצעות רשת הפייסבוק</w:t>
      </w:r>
      <w:r>
        <w:rPr>
          <w:rtl w:val="true"/>
        </w:rPr>
        <w:t xml:space="preserve">. </w:t>
      </w:r>
      <w:r>
        <w:rPr>
          <w:rtl w:val="true"/>
        </w:rPr>
        <w:t>הקלות המרבית שמאפשר המרחב האינטרנטי</w:t>
      </w:r>
      <w:r>
        <w:rPr>
          <w:rtl w:val="true"/>
        </w:rPr>
        <w:t xml:space="preserve">, </w:t>
      </w:r>
      <w:r>
        <w:rPr>
          <w:rtl w:val="true"/>
        </w:rPr>
        <w:t>בו עשה שימוש הנאשם להפצת דבריו</w:t>
      </w:r>
      <w:r>
        <w:rPr>
          <w:rtl w:val="true"/>
        </w:rPr>
        <w:t xml:space="preserve">, </w:t>
      </w:r>
      <w:r>
        <w:rPr>
          <w:rtl w:val="true"/>
        </w:rPr>
        <w:t>הובילה גם לחזרתו על העבירות שוב ושוב</w:t>
      </w:r>
      <w:r>
        <w:rPr>
          <w:rtl w:val="true"/>
        </w:rPr>
        <w:t xml:space="preserve">, </w:t>
      </w:r>
      <w:r>
        <w:rPr>
          <w:rtl w:val="true"/>
        </w:rPr>
        <w:t>ובעוד שסאלח הורשע בשתי עבירות בלבד</w:t>
      </w:r>
      <w:r>
        <w:rPr>
          <w:rtl w:val="true"/>
        </w:rPr>
        <w:t xml:space="preserve">, </w:t>
      </w:r>
      <w:r>
        <w:rPr>
          <w:rtl w:val="true"/>
        </w:rPr>
        <w:t>הורשע הנאשם שלפניי הרשעות רבות בשל אותם מעשי עבירה</w:t>
      </w:r>
      <w:r>
        <w:rPr>
          <w:rtl w:val="true"/>
        </w:rPr>
        <w:t xml:space="preserve">. </w:t>
      </w:r>
      <w:r>
        <w:rPr>
          <w:rtl w:val="true"/>
        </w:rPr>
        <w:t xml:space="preserve">בעניין סאלח גזר בית המשפט על הנאשם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וכן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</w:t>
      </w:r>
      <w:r>
        <w:rPr>
          <w:rtl w:val="true"/>
        </w:rPr>
        <w:t>(</w:t>
      </w:r>
      <w:r>
        <w:rPr>
          <w:rtl w:val="true"/>
        </w:rPr>
        <w:t xml:space="preserve">גזר  דין מיום </w:t>
      </w:r>
      <w:r>
        <w:rPr/>
        <w:t>26.3.15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יש לציין כי במסגרתו של </w:t>
      </w:r>
      <w:hyperlink r:id="rId22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.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. </w:t>
        </w:r>
        <w:r>
          <w:rPr>
            <w:rStyle w:val="Hyperlink"/>
            <w:b/>
            <w:bCs/>
            <w:color w:val="0000FF"/>
            <w:u w:val="single"/>
          </w:rPr>
          <w:t>44725-12-14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עומר שלבי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בבית משפט השלום בירושלים</w:t>
      </w:r>
      <w:r>
        <w:rPr>
          <w:rtl w:val="true"/>
        </w:rPr>
        <w:t xml:space="preserve">, </w:t>
      </w:r>
      <w:r>
        <w:rPr>
          <w:rtl w:val="true"/>
        </w:rPr>
        <w:t>בפני כבוד השופט א</w:t>
      </w:r>
      <w:r>
        <w:rPr>
          <w:rtl w:val="true"/>
        </w:rPr>
        <w:t xml:space="preserve">. </w:t>
      </w:r>
      <w:r>
        <w:rPr>
          <w:rtl w:val="true"/>
        </w:rPr>
        <w:t>קורנהאוזר</w:t>
      </w:r>
      <w:r>
        <w:rPr>
          <w:rtl w:val="true"/>
        </w:rPr>
        <w:t xml:space="preserve">) </w:t>
      </w:r>
      <w:r>
        <w:rPr>
          <w:rtl w:val="true"/>
        </w:rPr>
        <w:t xml:space="preserve">נדון </w:t>
      </w:r>
      <w:r>
        <w:rPr>
          <w:b/>
          <w:b/>
          <w:bCs/>
          <w:rtl w:val="true"/>
        </w:rPr>
        <w:t>עומר שלבי</w:t>
      </w:r>
      <w:r>
        <w:rPr>
          <w:rtl w:val="true"/>
        </w:rPr>
        <w:t xml:space="preserve"> לעונש הכולל תשעה חודשי מאסר בפועל ממש ומאסר מותנה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שלבי פרסם</w:t>
      </w:r>
      <w:r>
        <w:rPr>
          <w:rtl w:val="true"/>
        </w:rPr>
        <w:t xml:space="preserve">, </w:t>
      </w:r>
      <w:r>
        <w:rPr>
          <w:rtl w:val="true"/>
        </w:rPr>
        <w:t>כך על פי הכרעת הדין המבוססת על הודאתו</w:t>
      </w:r>
      <w:r>
        <w:rPr>
          <w:rtl w:val="true"/>
        </w:rPr>
        <w:t xml:space="preserve">, </w:t>
      </w:r>
      <w:r>
        <w:rPr>
          <w:rtl w:val="true"/>
        </w:rPr>
        <w:t>כעשרה פרסומים המכילים תכנים מסיתים</w:t>
      </w:r>
      <w:r>
        <w:rPr>
          <w:rtl w:val="true"/>
        </w:rPr>
        <w:t xml:space="preserve">, </w:t>
      </w:r>
      <w:r>
        <w:rPr>
          <w:rtl w:val="true"/>
        </w:rPr>
        <w:t xml:space="preserve">תמיכה במפגעים ודברי עידוד לפיגועים תוך שהוא </w:t>
      </w:r>
      <w:r>
        <w:rPr>
          <w:rtl w:val="true"/>
        </w:rPr>
        <w:t>"</w:t>
      </w:r>
      <w:r>
        <w:rPr>
          <w:rtl w:val="true"/>
        </w:rPr>
        <w:t>חבר</w:t>
      </w:r>
      <w:r>
        <w:rPr>
          <w:rtl w:val="true"/>
        </w:rPr>
        <w:t xml:space="preserve">" </w:t>
      </w:r>
      <w:r>
        <w:rPr>
          <w:rtl w:val="true"/>
        </w:rPr>
        <w:t>בפייסבוק של כ</w:t>
      </w:r>
      <w:r>
        <w:rPr>
          <w:rtl w:val="true"/>
        </w:rPr>
        <w:t xml:space="preserve">- </w:t>
      </w:r>
      <w:r>
        <w:rPr/>
        <w:t>5000</w:t>
      </w:r>
      <w:r>
        <w:rPr>
          <w:rtl w:val="true"/>
        </w:rPr>
        <w:t xml:space="preserve"> </w:t>
      </w:r>
      <w:r>
        <w:rPr>
          <w:rtl w:val="true"/>
        </w:rPr>
        <w:t xml:space="preserve">איש ויש באמתחתו </w:t>
      </w:r>
      <w:r>
        <w:rPr/>
        <w:t>755</w:t>
      </w:r>
      <w:r>
        <w:rPr>
          <w:rtl w:val="true"/>
        </w:rPr>
        <w:t xml:space="preserve"> "</w:t>
      </w:r>
      <w:r>
        <w:rPr>
          <w:rtl w:val="true"/>
        </w:rPr>
        <w:t>עוקבים</w:t>
      </w:r>
      <w:r>
        <w:rPr>
          <w:rtl w:val="true"/>
        </w:rPr>
        <w:t xml:space="preserve">". </w:t>
      </w:r>
      <w:r>
        <w:rPr>
          <w:rtl w:val="true"/>
        </w:rPr>
        <w:t xml:space="preserve">מתחם הענישה ההולם אשר נקבע על ידי המותב הנכבד במקרה זה עמד על </w:t>
      </w:r>
      <w:r>
        <w:rPr/>
        <w:t>7-24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תוך מתן דגש על </w:t>
      </w:r>
      <w:r>
        <w:rPr>
          <w:rtl w:val="true"/>
        </w:rPr>
        <w:t>"</w:t>
      </w:r>
      <w:r>
        <w:rPr>
          <w:b/>
          <w:b/>
          <w:bCs/>
          <w:rtl w:val="true"/>
        </w:rPr>
        <w:t>אופי דברי ההסתה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כמות הפרסומים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מצע התקופה בה פורסמו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 היקף תפוצתם</w:t>
      </w:r>
      <w:r>
        <w:rPr>
          <w:b/>
          <w:bCs/>
          <w:rtl w:val="true"/>
        </w:rPr>
        <w:t>...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כתב האישום בעניינו של הנאשם דנן אינו מפרט את היקפו של קהל ה</w:t>
      </w:r>
      <w:r>
        <w:rPr>
          <w:rtl w:val="true"/>
        </w:rPr>
        <w:t>"</w:t>
      </w:r>
      <w:r>
        <w:rPr>
          <w:rtl w:val="true"/>
        </w:rPr>
        <w:t>חברים</w:t>
      </w:r>
      <w:r>
        <w:rPr>
          <w:rtl w:val="true"/>
        </w:rPr>
        <w:t xml:space="preserve">"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עוקבים</w:t>
      </w:r>
      <w:r>
        <w:rPr>
          <w:rtl w:val="true"/>
        </w:rPr>
        <w:t xml:space="preserve">" </w:t>
      </w:r>
      <w:r>
        <w:rPr>
          <w:rtl w:val="true"/>
        </w:rPr>
        <w:t>המשתייכים לקהילתו הווירטואלית</w:t>
      </w:r>
      <w:r>
        <w:rPr>
          <w:rtl w:val="true"/>
        </w:rPr>
        <w:t xml:space="preserve">, </w:t>
      </w:r>
      <w:r>
        <w:rPr>
          <w:rtl w:val="true"/>
        </w:rPr>
        <w:t>ונתון זה יונח לזכותו</w:t>
      </w:r>
      <w:r>
        <w:rPr>
          <w:rtl w:val="true"/>
        </w:rPr>
        <w:t xml:space="preserve">. </w:t>
      </w:r>
      <w:r>
        <w:rPr>
          <w:rtl w:val="true"/>
        </w:rPr>
        <w:t>אולם מאידך</w:t>
      </w:r>
      <w:r>
        <w:rPr>
          <w:rtl w:val="true"/>
        </w:rPr>
        <w:t xml:space="preserve">, </w:t>
      </w:r>
      <w:r>
        <w:rPr>
          <w:rtl w:val="true"/>
        </w:rPr>
        <w:t xml:space="preserve">הנאשם דנן הורשע בפרסומם של </w:t>
      </w:r>
      <w:r>
        <w:rPr>
          <w:b/>
          <w:b/>
          <w:bCs/>
          <w:rtl w:val="true"/>
        </w:rPr>
        <w:t>שמונה עשרה</w:t>
      </w:r>
      <w:r>
        <w:rPr>
          <w:rtl w:val="true"/>
        </w:rPr>
        <w:t xml:space="preserve"> פרסומי הסתה לאלימות ו</w:t>
      </w:r>
      <w:r>
        <w:rPr>
          <w:b/>
          <w:b/>
          <w:bCs/>
          <w:rtl w:val="true"/>
        </w:rPr>
        <w:t>ששה</w:t>
      </w:r>
      <w:r>
        <w:rPr>
          <w:rtl w:val="true"/>
        </w:rPr>
        <w:t xml:space="preserve"> פרסומי תמיכה בארגון טרור אסור – כמות שהיא למעלה מכפולה מזו המיוחסת לשלבי</w:t>
      </w:r>
      <w:r>
        <w:rPr>
          <w:rtl w:val="true"/>
        </w:rPr>
        <w:t xml:space="preserve">. </w:t>
      </w:r>
      <w:r>
        <w:rPr>
          <w:rtl w:val="true"/>
        </w:rPr>
        <w:t>משקל משמעותי ניתן גם לכך שהנאשם הורשע בריבוי עבירות</w:t>
      </w:r>
      <w:r>
        <w:rPr>
          <w:rtl w:val="true"/>
        </w:rPr>
        <w:t xml:space="preserve">, </w:t>
      </w:r>
      <w:r>
        <w:rPr>
          <w:rtl w:val="true"/>
        </w:rPr>
        <w:t>אותן ביצע בתדירות גבוהה</w:t>
      </w:r>
      <w:r>
        <w:rPr>
          <w:rtl w:val="true"/>
        </w:rPr>
        <w:t xml:space="preserve">, </w:t>
      </w:r>
      <w:r>
        <w:rPr>
          <w:rtl w:val="true"/>
        </w:rPr>
        <w:t>ואשר הזיקה ביניהן הדוקה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 מצאתי תימוכין בטענת המאשימה לפיה פרסומיו של הנאשם דנן חמורים משמעותית מאלו של שלבי</w:t>
      </w:r>
      <w:r>
        <w:rPr>
          <w:rtl w:val="true"/>
        </w:rPr>
        <w:t xml:space="preserve">. </w:t>
      </w:r>
      <w:r>
        <w:rPr>
          <w:rtl w:val="true"/>
        </w:rPr>
        <w:t>שניהם כיוונו דבריהם לכלל האוכלוסיה</w:t>
      </w:r>
      <w:r>
        <w:rPr>
          <w:rtl w:val="true"/>
        </w:rPr>
        <w:t xml:space="preserve">, </w:t>
      </w:r>
      <w:r>
        <w:rPr>
          <w:rtl w:val="true"/>
        </w:rPr>
        <w:t>שניהם קילסו והיללו את מבצעי הפיגועים תוך שהם קושרים להם כתרים</w:t>
      </w:r>
      <w:r>
        <w:rPr>
          <w:rtl w:val="true"/>
        </w:rPr>
        <w:t xml:space="preserve">, </w:t>
      </w:r>
      <w:r>
        <w:rPr>
          <w:rtl w:val="true"/>
        </w:rPr>
        <w:t>ושניהם כתבו דברי בלע</w:t>
      </w:r>
      <w:r>
        <w:rPr>
          <w:rtl w:val="true"/>
        </w:rPr>
        <w:t xml:space="preserve">, </w:t>
      </w:r>
      <w:r>
        <w:rPr>
          <w:rtl w:val="true"/>
        </w:rPr>
        <w:t>שעניינם עידוד מאבק אלים במדינה</w:t>
      </w:r>
      <w:r>
        <w:rPr>
          <w:rtl w:val="true"/>
        </w:rPr>
        <w:t xml:space="preserve">, </w:t>
      </w:r>
      <w:r>
        <w:rPr>
          <w:rtl w:val="true"/>
        </w:rPr>
        <w:t>בשלוחיה ובמוסדותיה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עיננו הרואות כי היקפו של הקהל הוירטואלי</w:t>
      </w:r>
      <w:r>
        <w:rPr>
          <w:rtl w:val="true"/>
        </w:rPr>
        <w:t xml:space="preserve">, </w:t>
      </w:r>
      <w:r>
        <w:rPr>
          <w:rtl w:val="true"/>
        </w:rPr>
        <w:t>מעמדו של המסית וכמות דברי ההסתה כמו גם איכותם</w:t>
      </w:r>
      <w:r>
        <w:rPr>
          <w:rtl w:val="true"/>
        </w:rPr>
        <w:t xml:space="preserve">, </w:t>
      </w:r>
      <w:r>
        <w:rPr>
          <w:rtl w:val="true"/>
        </w:rPr>
        <w:t>הם אלו המהווים בסיס לקביעתו של המתחם העונשי הראוי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השוואתו של המקרה דנן למעשים המיוחסים לשלבי או לזה של ראאד סאלח מלמדת</w:t>
      </w:r>
      <w:r>
        <w:rPr>
          <w:rtl w:val="true"/>
        </w:rPr>
        <w:t xml:space="preserve">, </w:t>
      </w:r>
      <w:r>
        <w:rPr>
          <w:rtl w:val="true"/>
        </w:rPr>
        <w:t xml:space="preserve">כי כל אחד מן המקרים </w:t>
      </w:r>
      <w:r>
        <w:rPr>
          <w:rtl w:val="true"/>
        </w:rPr>
        <w:t>"</w:t>
      </w:r>
      <w:r>
        <w:rPr>
          <w:rtl w:val="true"/>
        </w:rPr>
        <w:t>מתבלט</w:t>
      </w:r>
      <w:r>
        <w:rPr>
          <w:rtl w:val="true"/>
        </w:rPr>
        <w:t xml:space="preserve">" </w:t>
      </w:r>
      <w:r>
        <w:rPr>
          <w:rtl w:val="true"/>
        </w:rPr>
        <w:t>בפרמטר המיוחד לו והמאפיין אותו</w:t>
      </w:r>
      <w:r>
        <w:rPr>
          <w:rtl w:val="true"/>
        </w:rPr>
        <w:t xml:space="preserve">. </w:t>
      </w:r>
      <w:r>
        <w:rPr>
          <w:rtl w:val="true"/>
        </w:rPr>
        <w:t xml:space="preserve">במקרה המיוחס </w:t>
      </w:r>
      <w:r>
        <w:rPr>
          <w:b/>
          <w:b/>
          <w:bCs/>
          <w:rtl w:val="true"/>
        </w:rPr>
        <w:t xml:space="preserve">לראאד סאלח </w:t>
      </w:r>
      <w:r>
        <w:rPr>
          <w:rtl w:val="true"/>
        </w:rPr>
        <w:t>מתבלט מעמדו הרם של המסית והשפעתו אל מול היות מקרה ההסתה המיוחס לו חד פעמי</w:t>
      </w:r>
      <w:r>
        <w:rPr>
          <w:rtl w:val="true"/>
        </w:rPr>
        <w:t xml:space="preserve">. </w:t>
      </w:r>
      <w:r>
        <w:rPr>
          <w:rtl w:val="true"/>
        </w:rPr>
        <w:t>באירועים המיוחסים ל</w:t>
      </w:r>
      <w:r>
        <w:rPr>
          <w:b/>
          <w:b/>
          <w:bCs/>
          <w:rtl w:val="true"/>
        </w:rPr>
        <w:t>שלבי</w:t>
      </w:r>
      <w:r>
        <w:rPr>
          <w:rtl w:val="true"/>
        </w:rPr>
        <w:t xml:space="preserve"> בא לידי ביטוי קהל וירטואלי גדול בן אלפי אנשים וכמותם של דברי ההסתה</w:t>
      </w:r>
      <w:r>
        <w:rPr>
          <w:rtl w:val="true"/>
        </w:rPr>
        <w:t xml:space="preserve">.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בולט לרעה מספרם הגבוה של דברי ההסתה כפי שתואר לעיל</w:t>
      </w:r>
      <w:r>
        <w:rPr>
          <w:rtl w:val="true"/>
        </w:rPr>
        <w:t xml:space="preserve">, </w:t>
      </w:r>
      <w:r>
        <w:rPr>
          <w:rtl w:val="true"/>
        </w:rPr>
        <w:t>וכן העובדה כי אין מדובר באישיות ציבורית או משמעותית אשר השפעתה הולכת למרחוק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חומרת מכלול המעשים</w:t>
      </w:r>
      <w:r>
        <w:rPr>
          <w:rtl w:val="true"/>
        </w:rPr>
        <w:t xml:space="preserve">, </w:t>
      </w:r>
      <w:r>
        <w:rPr>
          <w:rtl w:val="true"/>
        </w:rPr>
        <w:t>הערכים המוגנים</w:t>
      </w:r>
      <w:r>
        <w:rPr>
          <w:rtl w:val="true"/>
        </w:rPr>
        <w:t xml:space="preserve">, </w:t>
      </w:r>
      <w:r>
        <w:rPr>
          <w:rtl w:val="true"/>
        </w:rPr>
        <w:t xml:space="preserve">נסיבות ביצוע העבירות ובחינת הפסיקה הנוהגת מובילים לכך כי מתחם הענישה ההולם בעבירות אלה נע בין </w:t>
      </w:r>
      <w:r>
        <w:rPr>
          <w:b/>
          <w:bCs/>
        </w:rPr>
        <w:t>7-20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 ממש יחד עם מאסר מותנה וקנס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העונש ההולם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יליד שנת </w:t>
      </w:r>
      <w:r>
        <w:rPr/>
        <w:t>1988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נשוי המצפה ללידת ילדו הראשון ועברו נקי ונטול הרשעות קודמות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ביצע סדרת עבירות חמורות</w:t>
      </w:r>
      <w:r>
        <w:rPr>
          <w:rtl w:val="true"/>
        </w:rPr>
        <w:t xml:space="preserve">, </w:t>
      </w:r>
      <w:r>
        <w:rPr>
          <w:rtl w:val="true"/>
        </w:rPr>
        <w:t>בזו אחר זו</w:t>
      </w:r>
      <w:r>
        <w:rPr>
          <w:rtl w:val="true"/>
        </w:rPr>
        <w:t xml:space="preserve">, </w:t>
      </w:r>
      <w:r>
        <w:rPr>
          <w:rtl w:val="true"/>
        </w:rPr>
        <w:t>תוך ניצול שליטתו ברשת החברתית</w:t>
      </w:r>
      <w:r>
        <w:rPr>
          <w:rtl w:val="true"/>
        </w:rPr>
        <w:t xml:space="preserve">. </w:t>
      </w:r>
      <w:r>
        <w:rPr>
          <w:rtl w:val="true"/>
        </w:rPr>
        <w:t>התרשמתי כי מדובר באדם משכיל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המודע להשלכות מעשיו</w:t>
      </w:r>
      <w:r>
        <w:rPr>
          <w:rtl w:val="true"/>
        </w:rPr>
        <w:t xml:space="preserve">, </w:t>
      </w:r>
      <w:r>
        <w:rPr>
          <w:rtl w:val="true"/>
        </w:rPr>
        <w:t>אך בכל זאת בחר לבצע את מעשי ההסתה והתמיכה בטרור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מעבר לכך שהנאשם הודה במיוחס לו</w:t>
      </w:r>
      <w:r>
        <w:rPr>
          <w:rtl w:val="true"/>
        </w:rPr>
        <w:t xml:space="preserve">, </w:t>
      </w:r>
      <w:r>
        <w:rPr>
          <w:rtl w:val="true"/>
        </w:rPr>
        <w:t>חסך זמן שיפוטי יקר ואין לחובתו רישום פלילי</w:t>
      </w:r>
      <w:r>
        <w:rPr>
          <w:rtl w:val="true"/>
        </w:rPr>
        <w:t xml:space="preserve">, </w:t>
      </w:r>
      <w:r>
        <w:rPr>
          <w:rtl w:val="true"/>
        </w:rPr>
        <w:t>הרי שלא קיימים שיקולים נוספים לזכותו</w:t>
      </w:r>
      <w:r>
        <w:rPr>
          <w:rtl w:val="true"/>
        </w:rPr>
        <w:t xml:space="preserve">. </w:t>
      </w:r>
      <w:r>
        <w:rPr>
          <w:rtl w:val="true"/>
        </w:rPr>
        <w:t>ההגנה לא הצביעה על תרומה חברתית כלשהי</w:t>
      </w:r>
      <w:r>
        <w:rPr>
          <w:rtl w:val="true"/>
        </w:rPr>
        <w:t xml:space="preserve">, </w:t>
      </w:r>
      <w:r>
        <w:rPr>
          <w:rtl w:val="true"/>
        </w:rPr>
        <w:t>אשר תהווה משקל נגד לפגיעה שפגע הנאשם בחברה ובציבור בעצם מעשיו</w:t>
      </w:r>
      <w:r>
        <w:rPr>
          <w:rtl w:val="true"/>
        </w:rPr>
        <w:t xml:space="preserve">, </w:t>
      </w:r>
      <w:r>
        <w:rPr>
          <w:rtl w:val="true"/>
        </w:rPr>
        <w:t>ולא נטענה כל טענה לכך שהוא מתכוון לעזוב את מעשיו הרעים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עונש המאסר הוא פוגעני</w:t>
      </w:r>
      <w:r>
        <w:rPr>
          <w:rtl w:val="true"/>
        </w:rPr>
        <w:t xml:space="preserve">. </w:t>
      </w:r>
      <w:r>
        <w:rPr>
          <w:rtl w:val="true"/>
        </w:rPr>
        <w:t>הוא שולל את חירותו של הנאשם והוא מזיק ופוגע אף בסביבתו הקרובה ובבני משפחתו</w:t>
      </w:r>
      <w:r>
        <w:rPr>
          <w:rtl w:val="true"/>
        </w:rPr>
        <w:t xml:space="preserve">. </w:t>
      </w:r>
      <w:r>
        <w:rPr>
          <w:rtl w:val="true"/>
        </w:rPr>
        <w:t>אך זהו עצם טיבו של המאסר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 מצאתי במקרה זה נסיבות הגורמות לפגיעה שונה ומיוחדת בנאשם מזו המחויבת מעונש 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נתתי דעתי גם לכך שהנאשם ביצע את העבירות המיוחסות לו בקלות</w:t>
      </w:r>
      <w:r>
        <w:rPr>
          <w:rtl w:val="true"/>
        </w:rPr>
        <w:t xml:space="preserve">, </w:t>
      </w:r>
      <w:r>
        <w:rPr>
          <w:rtl w:val="true"/>
        </w:rPr>
        <w:t>ללא כל מאמץ ואלה לא תבעו ממנו כל משאב או נזק</w:t>
      </w:r>
      <w:r>
        <w:rPr>
          <w:rtl w:val="true"/>
        </w:rPr>
        <w:t xml:space="preserve">, </w:t>
      </w:r>
      <w:r>
        <w:rPr>
          <w:rtl w:val="true"/>
        </w:rPr>
        <w:t>כשלעצמן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כך או כך</w:t>
      </w:r>
      <w:r>
        <w:rPr>
          <w:rtl w:val="true"/>
        </w:rPr>
        <w:t xml:space="preserve">, </w:t>
      </w:r>
      <w:r>
        <w:rPr>
          <w:rtl w:val="true"/>
        </w:rPr>
        <w:t>חומרת העבירות אותן ביצע הנאשם</w:t>
      </w:r>
      <w:r>
        <w:rPr>
          <w:rtl w:val="true"/>
        </w:rPr>
        <w:t xml:space="preserve">, </w:t>
      </w:r>
      <w:r>
        <w:rPr>
          <w:rtl w:val="true"/>
        </w:rPr>
        <w:t>גוברת במקרה זה על הנסיבות האישיות של הנאשם</w:t>
      </w:r>
      <w:r>
        <w:rPr>
          <w:rtl w:val="true"/>
        </w:rPr>
        <w:t xml:space="preserve">, </w:t>
      </w:r>
      <w:r>
        <w:rPr>
          <w:rtl w:val="true"/>
        </w:rPr>
        <w:t>ועניין זה יקבל את ביטויו העונשי ההולם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נוכח כל האמור לעיל</w:t>
      </w:r>
      <w:r>
        <w:rPr>
          <w:rtl w:val="true"/>
        </w:rPr>
        <w:t xml:space="preserve">, </w:t>
      </w:r>
      <w:r>
        <w:rPr>
          <w:rtl w:val="true"/>
        </w:rPr>
        <w:t>ולאחר ששקלתי את כל השיקולים הצריכים לעניין</w:t>
      </w:r>
      <w:r>
        <w:rPr>
          <w:rtl w:val="true"/>
        </w:rPr>
        <w:t xml:space="preserve">, </w:t>
      </w:r>
      <w:r>
        <w:rPr>
          <w:rtl w:val="true"/>
        </w:rPr>
        <w:t>אני גוזר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tyle12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שמונה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Cs/>
          <w:sz w:val="24"/>
          <w:szCs w:val="24"/>
        </w:rPr>
        <w:t>8</w:t>
      </w:r>
      <w:r>
        <w:rPr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חודשי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בפועל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בניכוי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ימי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מעצרו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בתיק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David"/>
          <w:b/>
          <w:bCs/>
          <w:sz w:val="24"/>
          <w:szCs w:val="24"/>
          <w:rtl w:val="true"/>
        </w:rPr>
        <w:t>.</w:t>
      </w:r>
    </w:p>
    <w:p>
      <w:pPr>
        <w:pStyle w:val="Style12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ששה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Cs/>
          <w:sz w:val="24"/>
          <w:szCs w:val="24"/>
        </w:rPr>
        <w:t>6</w:t>
      </w:r>
      <w:r>
        <w:rPr>
          <w:rFonts w:cs="David"/>
          <w:b/>
          <w:bCs/>
          <w:sz w:val="24"/>
          <w:szCs w:val="24"/>
          <w:rtl w:val="true"/>
        </w:rPr>
        <w:t xml:space="preserve">) 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חודשי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אותם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ירצה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יעבור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תוך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3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מיום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שחרורו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הורשע</w:t>
      </w:r>
      <w:r>
        <w:rPr>
          <w:rFonts w:cs="David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זכות ערעור לבית המשפט המחוזי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סיוון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19/05/2015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שמואל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הרבסט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שופט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מועלם</w:t>
      </w:r>
      <w:r>
        <w:rPr>
          <w:rtl w:val="true"/>
        </w:rPr>
        <w:t xml:space="preserve">  </w:t>
      </w:r>
      <w:r>
        <w:rPr>
          <w:rtl w:val="true"/>
        </w:rPr>
        <w:t>יעל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שמואל הרבסט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44918-12-14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סאמי דעיס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44918-12-14"/>
    <w:docVar w:name="caseId" w:val="72384174"/>
    <w:docVar w:name="deriveClass" w:val="NGCS.Protocol.BL.Client.ProtocolBLClientCriminal"/>
    <w:docVar w:name="firstPageNumber" w:val="16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userUPN" w:val="כולם"/>
    <w:docVar w:name="privellegeId" w:val="1"/>
    <w:docVar w:name="protocolId" w:val="5749134"/>
    <w:docVar w:name="releaseSign" w:val="0"/>
    <w:docVar w:name="sittingDateTime" w:val="19/05/2015 10:00     "/>
    <w:docVar w:name="sittingId" w:val="78924803"/>
    <w:docVar w:name="sittingTypeId" w:val="2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6z0">
    <w:name w:val="WW8Num6z0"/>
    <w:qFormat/>
    <w:rPr/>
  </w:style>
  <w:style w:type="character" w:styleId="WW8Num8z0">
    <w:name w:val="WW8Num8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Style11">
    <w:name w:val="טקסט מציין מיקום"/>
    <w:qFormat/>
    <w:rPr>
      <w:color w:val="80808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jc w:val="both"/>
    </w:pPr>
    <w:rPr>
      <w:rFonts w:ascii="Arial" w:hAnsi="Arial" w:eastAsia="Times New Roman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jc w:val="both"/>
    </w:pPr>
    <w:rPr>
      <w:rFonts w:ascii="Arial" w:hAnsi="Arial" w:eastAsia="Times New Roman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Style12">
    <w:name w:val="פיסקת רשימה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d2" TargetMode="External"/><Relationship Id="rId4" Type="http://schemas.openxmlformats.org/officeDocument/2006/relationships/hyperlink" Target="http://www.nevo.co.il/law/72515" TargetMode="External"/><Relationship Id="rId5" Type="http://schemas.openxmlformats.org/officeDocument/2006/relationships/hyperlink" Target="http://www.nevo.co.il/law/72515/4.b" TargetMode="External"/><Relationship Id="rId6" Type="http://schemas.openxmlformats.org/officeDocument/2006/relationships/hyperlink" Target="http://www.nevo.co.il/law/72515/4.g" TargetMode="External"/><Relationship Id="rId7" Type="http://schemas.openxmlformats.org/officeDocument/2006/relationships/hyperlink" Target="http://www.nevo.co.il/law/70301/144d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2515/4.b" TargetMode="External"/><Relationship Id="rId10" Type="http://schemas.openxmlformats.org/officeDocument/2006/relationships/hyperlink" Target="http://www.nevo.co.il/law/72515/4.g" TargetMode="External"/><Relationship Id="rId11" Type="http://schemas.openxmlformats.org/officeDocument/2006/relationships/hyperlink" Target="http://www.nevo.co.il/law/72515" TargetMode="External"/><Relationship Id="rId12" Type="http://schemas.openxmlformats.org/officeDocument/2006/relationships/hyperlink" Target="http://www.nevo.co.il/law/70301/144d2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2515/4.b" TargetMode="External"/><Relationship Id="rId15" Type="http://schemas.openxmlformats.org/officeDocument/2006/relationships/hyperlink" Target="http://www.nevo.co.il/law/72515/4.g" TargetMode="External"/><Relationship Id="rId16" Type="http://schemas.openxmlformats.org/officeDocument/2006/relationships/hyperlink" Target="http://www.nevo.co.il/law/72515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d2" TargetMode="External"/><Relationship Id="rId19" Type="http://schemas.openxmlformats.org/officeDocument/2006/relationships/hyperlink" Target="http://www.nevo.co.il/law/72515" TargetMode="External"/><Relationship Id="rId20" Type="http://schemas.openxmlformats.org/officeDocument/2006/relationships/hyperlink" Target="http://www.nevo.co.il/case/6040925" TargetMode="External"/><Relationship Id="rId21" Type="http://schemas.openxmlformats.org/officeDocument/2006/relationships/hyperlink" Target="http://www.nevo.co.il/case/13058009" TargetMode="External"/><Relationship Id="rId22" Type="http://schemas.openxmlformats.org/officeDocument/2006/relationships/hyperlink" Target="http://www.nevo.co.il/case/18749990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2015-06-08T11:30:00Z</dcterms:created>
  <dc:creator> </dc:creator>
  <dc:description/>
  <cp:keywords/>
  <dc:language>en-IL</dc:language>
  <cp:lastModifiedBy>orly</cp:lastModifiedBy>
  <cp:lastPrinted>2015-05-19T10:24:00Z</cp:lastPrinted>
  <dcterms:modified xsi:type="dcterms:W3CDTF">2015-06-08T11:30:00Z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סאמי דעיס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ProcID=235&amp;PartA=18&amp;PartC=36</vt:lpwstr>
  </property>
  <property fmtid="{D5CDD505-2E9C-101B-9397-08002B2CF9AE}" pid="9" name="CASESLISTTMP1">
    <vt:lpwstr>6040925;13058009;18749990</vt:lpwstr>
  </property>
  <property fmtid="{D5CDD505-2E9C-101B-9397-08002B2CF9AE}" pid="10" name="CITY">
    <vt:lpwstr>י-ם</vt:lpwstr>
  </property>
  <property fmtid="{D5CDD505-2E9C-101B-9397-08002B2CF9AE}" pid="11" name="DATE">
    <vt:lpwstr>20150519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שמואל הרבסט</vt:lpwstr>
  </property>
  <property fmtid="{D5CDD505-2E9C-101B-9397-08002B2CF9AE}" pid="15" name="LAWLISTTMP1">
    <vt:lpwstr>70301/144d2:2</vt:lpwstr>
  </property>
  <property fmtid="{D5CDD505-2E9C-101B-9397-08002B2CF9AE}" pid="16" name="LAWLISTTMP2">
    <vt:lpwstr>72515/004.b;004.g</vt:lpwstr>
  </property>
  <property fmtid="{D5CDD505-2E9C-101B-9397-08002B2CF9AE}" pid="17" name="LAWYER">
    <vt:lpwstr>ג'ני אבני;מוחמד מחמוד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שירי</vt:lpwstr>
  </property>
  <property fmtid="{D5CDD505-2E9C-101B-9397-08002B2CF9AE}" pid="24" name="NEWPARTA">
    <vt:lpwstr>44918</vt:lpwstr>
  </property>
  <property fmtid="{D5CDD505-2E9C-101B-9397-08002B2CF9AE}" pid="25" name="NEWPARTB">
    <vt:lpwstr>12</vt:lpwstr>
  </property>
  <property fmtid="{D5CDD505-2E9C-101B-9397-08002B2CF9AE}" pid="26" name="NEWPARTC">
    <vt:lpwstr>14</vt:lpwstr>
  </property>
  <property fmtid="{D5CDD505-2E9C-101B-9397-08002B2CF9AE}" pid="27" name="NEWPROC">
    <vt:lpwstr>תפ</vt:lpwstr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</vt:lpwstr>
  </property>
  <property fmtid="{D5CDD505-2E9C-101B-9397-08002B2CF9AE}" pid="50" name="NOSE31">
    <vt:lpwstr>מדיניות ענישה: הסתה לאלימות או לטרור</vt:lpwstr>
  </property>
  <property fmtid="{D5CDD505-2E9C-101B-9397-08002B2CF9AE}" pid="51" name="NOSE310">
    <vt:lpwstr/>
  </property>
  <property fmtid="{D5CDD505-2E9C-101B-9397-08002B2CF9AE}" pid="52" name="NOSE32">
    <vt:lpwstr>מדיניות ענישה: עבירות ביטחון</vt:lpwstr>
  </property>
  <property fmtid="{D5CDD505-2E9C-101B-9397-08002B2CF9AE}" pid="53" name="NOSE33">
    <vt:lpwstr>מדיניות ענישה: שיקולים לחומרה</vt:lpwstr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16410;8985;8995</vt:lpwstr>
  </property>
  <property fmtid="{D5CDD505-2E9C-101B-9397-08002B2CF9AE}" pid="61" name="PADIDATE">
    <vt:lpwstr>20150608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/>
  </property>
  <property fmtid="{D5CDD505-2E9C-101B-9397-08002B2CF9AE}" pid="66" name="PROCNUM">
    <vt:lpwstr/>
  </property>
  <property fmtid="{D5CDD505-2E9C-101B-9397-08002B2CF9AE}" pid="67" name="PROCYEAR">
    <vt:lpwstr/>
  </property>
  <property fmtid="{D5CDD505-2E9C-101B-9397-08002B2CF9AE}" pid="68" name="PSAKDIN">
    <vt:lpwstr>גזר-דין</vt:lpwstr>
  </property>
  <property fmtid="{D5CDD505-2E9C-101B-9397-08002B2CF9AE}" pid="69" name="TYPE">
    <vt:lpwstr>3</vt:lpwstr>
  </property>
  <property fmtid="{D5CDD505-2E9C-101B-9397-08002B2CF9AE}" pid="70" name="TYPE_ABS_DATE">
    <vt:lpwstr>380120150519</vt:lpwstr>
  </property>
  <property fmtid="{D5CDD505-2E9C-101B-9397-08002B2CF9AE}" pid="71" name="TYPE_N_DATE">
    <vt:lpwstr>38020150519</vt:lpwstr>
  </property>
  <property fmtid="{D5CDD505-2E9C-101B-9397-08002B2CF9AE}" pid="72" name="VOLUME">
    <vt:lpwstr/>
  </property>
  <property fmtid="{D5CDD505-2E9C-101B-9397-08002B2CF9AE}" pid="73" name="WORDNUMPAGES">
    <vt:lpwstr>10</vt:lpwstr>
  </property>
</Properties>
</file>