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45095-04-16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 אל קאדר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51"/>
        <w:gridCol w:w="6953"/>
      </w:tblGrid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695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953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מספר פל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61220/2016</w:t>
            </w:r>
          </w:p>
        </w:tc>
      </w:tr>
      <w:tr>
        <w:trPr>
          <w:trHeight w:val="337" w:hRule="atLeast"/>
        </w:trPr>
        <w:tc>
          <w:tcPr>
            <w:tcW w:w="1551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  <w:r>
              <w:rPr>
                <w:rFonts w:cs="Times New Roman" w:ascii="Times New Roman" w:hAnsi="Times New Roman"/>
                <w:b/>
                <w:bCs/>
                <w:sz w:val="4"/>
                <w:szCs w:val="4"/>
              </w:rPr>
            </w:r>
          </w:p>
        </w:tc>
        <w:tc>
          <w:tcPr>
            <w:tcW w:w="695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נאוה בכור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רימאח עבד אל קאדר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 אלעיאד מסארוה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באקרי מסארוה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גבאלי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האני עאזם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6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סעיד עבד אלקאדר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7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מואמן אלעיאד מסארוה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8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עלאא אל קאדר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9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 עבד אל קאדר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מוהנד גבאלי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לירן פנטוך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9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חמוטל פז ממשרד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נבון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338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5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eastAsia="Arial" w:cs="Arial" w:ascii="Arial" w:hAnsi="Arial"/>
          <w:b/>
          <w:bCs/>
          <w:sz w:val="32"/>
          <w:szCs w:val="32"/>
          <w:rtl w:val="true"/>
        </w:rPr>
        <w:t xml:space="preserve"> </w:t>
      </w:r>
      <w:r>
        <w:rPr>
          <w:rFonts w:cs="Arial" w:ascii="Arial" w:hAnsi="Arial"/>
          <w:b/>
          <w:bCs/>
          <w:sz w:val="32"/>
          <w:szCs w:val="32"/>
          <w:rtl w:val="true"/>
        </w:rPr>
        <w:t>(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בעניינו של נאשם </w:t>
      </w:r>
      <w:r>
        <w:rPr>
          <w:rFonts w:cs="Arial" w:ascii="Arial" w:hAnsi="Arial"/>
          <w:b/>
          <w:bCs/>
          <w:sz w:val="32"/>
          <w:szCs w:val="32"/>
        </w:rPr>
        <w:t>9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בלבד</w:t>
      </w:r>
      <w:r>
        <w:rPr>
          <w:rFonts w:cs="Arial" w:ascii="Arial" w:hAnsi="Arial"/>
          <w:b/>
          <w:bCs/>
          <w:sz w:val="32"/>
          <w:szCs w:val="32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8" w:name="ABSTRACT_START"/>
      <w:bookmarkEnd w:id="8"/>
      <w:r>
        <w:rPr>
          <w:rtl w:val="true"/>
        </w:rPr>
        <w:t xml:space="preserve">נאשם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 xml:space="preserve">הורשע על פי הודאתו ובמסגרת הסדר טיעון בכתב אישום מתוקן בעבירה של </w:t>
      </w:r>
      <w:r>
        <w:rPr>
          <w:u w:val="single"/>
          <w:rtl w:val="true"/>
        </w:rPr>
        <w:t>מעשה פזיזות ורשלנות</w:t>
      </w:r>
      <w:r>
        <w:rPr>
          <w:rtl w:val="true"/>
        </w:rPr>
        <w:t xml:space="preserve"> על פי </w:t>
      </w:r>
      <w:hyperlink r:id="rId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>
          <w:b/>
          <w:bCs/>
        </w:rPr>
        <w:t>18.9.15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הגיע הנאשם ביחד עם אחרים לשטח הררי במיקום שאינו ידוע במדויק למאשימה</w:t>
      </w:r>
      <w:r>
        <w:rPr>
          <w:rtl w:val="true"/>
        </w:rPr>
        <w:t xml:space="preserve">, </w:t>
      </w:r>
      <w:r>
        <w:rPr>
          <w:rtl w:val="true"/>
        </w:rPr>
        <w:t>כשהוא מצויד בחפץ שעלול לסכן חיי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עשה הנאשם מעשה פזיזות לגבי חפץ מסוכן שבהחזקתו ולא נקט אמצעי זהירות נאותים מפני סכנה מסתברת הכרוכה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 xml:space="preserve">. </w:t>
        <w:tab/>
      </w:r>
      <w:r>
        <w:rPr>
          <w:rtl w:val="true"/>
        </w:rPr>
        <w:t>הצדדים הגיעו להסדר טיעון לפיו הנאשם יודה בכתב האישום מתוקן</w:t>
      </w:r>
      <w:r>
        <w:rPr>
          <w:rtl w:val="true"/>
        </w:rPr>
        <w:t xml:space="preserve">, </w:t>
      </w:r>
      <w:r>
        <w:rPr>
          <w:rtl w:val="true"/>
        </w:rPr>
        <w:t>יורשע בגינו ויופנה לקבלת 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לעניין העונש</w:t>
      </w:r>
      <w:r>
        <w:rPr>
          <w:rtl w:val="true"/>
        </w:rPr>
        <w:t xml:space="preserve">- </w:t>
      </w:r>
      <w:r>
        <w:rPr>
          <w:rtl w:val="true"/>
        </w:rPr>
        <w:t>המאשימה תעתור למאסר על תנאי וקנס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 הנאשם יטען באופן פתוח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ביום </w:t>
      </w:r>
      <w:r>
        <w:rPr>
          <w:b/>
          <w:bCs/>
        </w:rPr>
        <w:t>22.8.17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התקבל תסקיר בעניינו של הנאשם הממליץ לבטל את הרשעתו ולהטיל עליו צו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 בעבודות שמירה בעיריית טייבה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מטיעוני המאשימה</w:t>
      </w:r>
      <w:r>
        <w:rPr>
          <w:rtl w:val="true"/>
        </w:rPr>
        <w:t xml:space="preserve"> לעונש עולה כי התסקיר בעניינו מתייחס לעובדה כי הוא הודה</w:t>
      </w:r>
      <w:r>
        <w:rPr>
          <w:rtl w:val="true"/>
        </w:rPr>
        <w:t xml:space="preserve">, </w:t>
      </w:r>
      <w:r>
        <w:rPr>
          <w:rtl w:val="true"/>
        </w:rPr>
        <w:t>הביע חרטה</w:t>
      </w:r>
      <w:r>
        <w:rPr>
          <w:rtl w:val="true"/>
        </w:rPr>
        <w:t xml:space="preserve">, </w:t>
      </w:r>
      <w:r>
        <w:rPr>
          <w:rtl w:val="true"/>
        </w:rPr>
        <w:t>ושמדובר בחולה כרוני המקבל טיפול תרופתי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הומלץ על ביטול ההרשעה</w:t>
      </w:r>
      <w:r>
        <w:rPr>
          <w:rtl w:val="true"/>
        </w:rPr>
        <w:t xml:space="preserve">, </w:t>
      </w:r>
      <w:r>
        <w:rPr>
          <w:rtl w:val="true"/>
        </w:rPr>
        <w:t>כי לטענת הנאשם הרשעה בדין תגרום לכך שרישיון הייבוא שלו יישלל 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 לבחון שני פרמטרים – האם ההרשעה תפגע בשיקומו</w:t>
      </w:r>
      <w:r>
        <w:rPr>
          <w:rtl w:val="true"/>
        </w:rPr>
        <w:t xml:space="preserve">, </w:t>
      </w:r>
      <w:r>
        <w:rPr>
          <w:rtl w:val="true"/>
        </w:rPr>
        <w:t>והאם מדובר בעבירה שניתן להסתפק באי הרשעה בגינה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מהות העבירה המיוחסת לו היא בעבירות נשק</w:t>
      </w:r>
      <w:r>
        <w:rPr>
          <w:rtl w:val="true"/>
        </w:rPr>
        <w:t xml:space="preserve">, </w:t>
      </w:r>
      <w:r>
        <w:rPr>
          <w:rtl w:val="true"/>
        </w:rPr>
        <w:t>ועל כן האינטרס הציבורי שלצידן אינו מאפשר סיום הליך ללא 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 הועברו אישורים אודות פגיעה קונקרטית בעטיה של הרשעה</w:t>
      </w:r>
      <w:r>
        <w:rPr>
          <w:rtl w:val="true"/>
        </w:rPr>
        <w:t xml:space="preserve">, </w:t>
      </w:r>
      <w:r>
        <w:rPr>
          <w:rtl w:val="true"/>
        </w:rPr>
        <w:t>ולכן לא מתקיימים  שני תנאים מצטברים לפי הלכה פסוקה לצורך הצדקת אי 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 בעבירה שהיא חמורה המחייבת הרתעה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 להותיר את ההרשעה על כנה וכן להשית על הנאשם מאסר על תנאי וקנס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מטיעוני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עולה כי הנאשם היה מנותק כל חייו לחלוטין ממעורבות פלילית</w:t>
      </w:r>
      <w:r>
        <w:rPr>
          <w:rtl w:val="true"/>
        </w:rPr>
        <w:t xml:space="preserve">, </w:t>
      </w:r>
      <w:r>
        <w:rPr>
          <w:rtl w:val="true"/>
        </w:rPr>
        <w:t>הוא גם עבד עם כוחות הביטחון בדרכים שונות</w:t>
      </w:r>
      <w:r>
        <w:rPr>
          <w:rtl w:val="true"/>
        </w:rPr>
        <w:t xml:space="preserve">, </w:t>
      </w:r>
      <w:r>
        <w:rPr>
          <w:rtl w:val="true"/>
        </w:rPr>
        <w:t>ועם המשטרה</w:t>
      </w:r>
      <w:r>
        <w:rPr>
          <w:rtl w:val="true"/>
        </w:rPr>
        <w:t xml:space="preserve">. </w:t>
      </w:r>
      <w:r>
        <w:rPr>
          <w:rtl w:val="true"/>
        </w:rPr>
        <w:t xml:space="preserve">בגלל תרומתו זו הוא קיבל באופן נדיר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רישיונות נשק</w:t>
      </w:r>
      <w:r>
        <w:rPr>
          <w:rtl w:val="true"/>
        </w:rPr>
        <w:t xml:space="preserve">, </w:t>
      </w:r>
      <w:r>
        <w:rPr>
          <w:rtl w:val="true"/>
        </w:rPr>
        <w:t>אחד לאקדח ולאחד לרובה קליעה</w:t>
      </w:r>
      <w:r>
        <w:rPr>
          <w:rtl w:val="true"/>
        </w:rPr>
        <w:t xml:space="preserve">, </w:t>
      </w:r>
      <w:r>
        <w:rPr>
          <w:rtl w:val="true"/>
        </w:rPr>
        <w:t xml:space="preserve">והוא החזיק ברישיון זה כמעט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בתיק זה כל העצורים</w:t>
      </w:r>
      <w:r>
        <w:rPr>
          <w:rtl w:val="true"/>
        </w:rPr>
        <w:t xml:space="preserve">, </w:t>
      </w:r>
      <w:r>
        <w:rPr>
          <w:rtl w:val="true"/>
        </w:rPr>
        <w:t xml:space="preserve">למעט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הם אנשים נורמטיביים</w:t>
      </w:r>
      <w:r>
        <w:rPr>
          <w:rtl w:val="true"/>
        </w:rPr>
        <w:t xml:space="preserve">, </w:t>
      </w:r>
      <w:r>
        <w:rPr>
          <w:rtl w:val="true"/>
        </w:rPr>
        <w:t>אבל תיק זה משקף כמיהה לנשק</w:t>
      </w:r>
      <w:r>
        <w:rPr>
          <w:rtl w:val="true"/>
        </w:rPr>
        <w:t xml:space="preserve">, </w:t>
      </w:r>
      <w:r>
        <w:rPr>
          <w:rtl w:val="true"/>
        </w:rPr>
        <w:t>כי נשק בחברות מסוימות הפך להיות מותג</w:t>
      </w:r>
      <w:r>
        <w:rPr>
          <w:rtl w:val="true"/>
        </w:rPr>
        <w:t xml:space="preserve">, </w:t>
      </w:r>
      <w:r>
        <w:rPr>
          <w:rtl w:val="true"/>
        </w:rPr>
        <w:t>סמל סטטוס</w:t>
      </w:r>
      <w:r>
        <w:rPr>
          <w:rtl w:val="true"/>
        </w:rPr>
        <w:t xml:space="preserve">, </w:t>
      </w:r>
      <w:r>
        <w:rPr>
          <w:rtl w:val="true"/>
        </w:rPr>
        <w:t>אין כוונה לעשות בו 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בבסיס האישום האזנות סתר מהם משתמע כפי שעולה גם מהתסקיר – כי הם יצאו עם אחרים לטיול שטח באזור שוהם</w:t>
      </w:r>
      <w:r>
        <w:rPr>
          <w:rtl w:val="true"/>
        </w:rPr>
        <w:t xml:space="preserve">, </w:t>
      </w:r>
      <w:r>
        <w:rPr>
          <w:rtl w:val="true"/>
        </w:rPr>
        <w:t>קרוב לגדר ההפרדה</w:t>
      </w:r>
      <w:r>
        <w:rPr>
          <w:rtl w:val="true"/>
        </w:rPr>
        <w:t xml:space="preserve">, </w:t>
      </w:r>
      <w:r>
        <w:rPr>
          <w:rtl w:val="true"/>
        </w:rPr>
        <w:t>וכאשר התקרבו לגדר הנאשם דרך את הנשק</w:t>
      </w:r>
      <w:r>
        <w:rPr>
          <w:rtl w:val="true"/>
        </w:rPr>
        <w:t xml:space="preserve">, </w:t>
      </w:r>
      <w:r>
        <w:rPr>
          <w:rtl w:val="true"/>
        </w:rPr>
        <w:t>השאירו דרוך</w:t>
      </w:r>
      <w:r>
        <w:rPr>
          <w:rtl w:val="true"/>
        </w:rPr>
        <w:t xml:space="preserve">, </w:t>
      </w:r>
      <w:r>
        <w:rPr>
          <w:rtl w:val="true"/>
        </w:rPr>
        <w:t>שכח להחזיר אותו</w:t>
      </w:r>
      <w:r>
        <w:rPr>
          <w:rtl w:val="true"/>
        </w:rPr>
        <w:t xml:space="preserve">, </w:t>
      </w:r>
      <w:r>
        <w:rPr>
          <w:rtl w:val="true"/>
        </w:rPr>
        <w:t>וגילה את זה בדרך חזרה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במשך כמה שעות הנשק היה במצב דרוך עליו</w:t>
      </w:r>
      <w:r>
        <w:rPr>
          <w:rtl w:val="true"/>
        </w:rPr>
        <w:t xml:space="preserve">. </w:t>
      </w:r>
      <w:r>
        <w:rPr>
          <w:rtl w:val="true"/>
        </w:rPr>
        <w:t>יושבי הרכב</w:t>
      </w:r>
      <w:r>
        <w:rPr>
          <w:rtl w:val="true"/>
        </w:rPr>
        <w:t xml:space="preserve">, </w:t>
      </w:r>
      <w:r>
        <w:rPr>
          <w:rtl w:val="true"/>
        </w:rPr>
        <w:t>צעירים ממנו</w:t>
      </w:r>
      <w:r>
        <w:rPr>
          <w:rtl w:val="true"/>
        </w:rPr>
        <w:t xml:space="preserve">, </w:t>
      </w:r>
      <w:r>
        <w:rPr>
          <w:rtl w:val="true"/>
        </w:rPr>
        <w:t>אחד מהם אחיין שלו</w:t>
      </w:r>
      <w:r>
        <w:rPr>
          <w:rtl w:val="true"/>
        </w:rPr>
        <w:t xml:space="preserve">, </w:t>
      </w:r>
      <w:r>
        <w:rPr>
          <w:rtl w:val="true"/>
        </w:rPr>
        <w:t>ראו את זה</w:t>
      </w:r>
      <w:r>
        <w:rPr>
          <w:rtl w:val="true"/>
        </w:rPr>
        <w:t xml:space="preserve">, </w:t>
      </w:r>
      <w:r>
        <w:rPr>
          <w:rtl w:val="true"/>
        </w:rPr>
        <w:t>דיברו על זה בשיחה טלפונית ביניהם</w:t>
      </w:r>
      <w:r>
        <w:rPr>
          <w:rtl w:val="true"/>
        </w:rPr>
        <w:t xml:space="preserve">, </w:t>
      </w:r>
      <w:r>
        <w:rPr>
          <w:rtl w:val="true"/>
        </w:rPr>
        <w:t>וזה מקור 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 מעולם לא היה עצור בתיק זה</w:t>
      </w:r>
      <w:r>
        <w:rPr>
          <w:rtl w:val="true"/>
        </w:rPr>
        <w:t xml:space="preserve">, </w:t>
      </w:r>
      <w:r>
        <w:rPr>
          <w:rtl w:val="true"/>
        </w:rPr>
        <w:t>ושוחרר מהיום הראשון במשטרה לאחר חקירה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התיק נקבע להוכחות בשל פער משפטי בין עובדות האישום לסעיף האישום</w:t>
      </w:r>
      <w:r>
        <w:rPr>
          <w:rtl w:val="true"/>
        </w:rPr>
        <w:t xml:space="preserve">, </w:t>
      </w:r>
      <w:r>
        <w:rPr>
          <w:rtl w:val="true"/>
        </w:rPr>
        <w:t>אולם לבסוף הודה במסגרת הסדר טיעון על מנת שלא להכביד על המערכת</w:t>
      </w:r>
      <w:r>
        <w:rPr>
          <w:rtl w:val="true"/>
        </w:rPr>
        <w:t xml:space="preserve">, </w:t>
      </w:r>
      <w:r>
        <w:rPr>
          <w:rtl w:val="true"/>
        </w:rPr>
        <w:t>שכן אין מדובר בפרשיה גדולה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כתב האישום לא נוקט במינוח נשק אלא בחפץ שעלול לסכן 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 אלה יש להימנע מהרשעת הנאשם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 סעיף הרשלנות בדרך כלל עומדים לדין במקרים של פליטות כדור ולא בנסיבות כמו במקרה דנן</w:t>
      </w:r>
      <w:r>
        <w:rPr>
          <w:rtl w:val="true"/>
        </w:rPr>
        <w:t xml:space="preserve">. </w:t>
      </w:r>
      <w:r>
        <w:rPr>
          <w:rtl w:val="true"/>
        </w:rPr>
        <w:t>העובדות בקושי מתארות מקרה בר 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אסופה של פסיקה בעבירה זו ובעבירה של חבלה</w:t>
      </w:r>
      <w:r>
        <w:rPr>
          <w:rtl w:val="true"/>
        </w:rPr>
        <w:t xml:space="preserve">, </w:t>
      </w:r>
      <w:r>
        <w:rPr>
          <w:rtl w:val="true"/>
        </w:rPr>
        <w:t>בעבירת החזקת נשק</w:t>
      </w:r>
      <w:r>
        <w:rPr>
          <w:rtl w:val="true"/>
        </w:rPr>
        <w:t xml:space="preserve">, </w:t>
      </w:r>
      <w:r>
        <w:rPr>
          <w:rtl w:val="true"/>
        </w:rPr>
        <w:t>הסתיימה באי 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הנאשם הוא אב 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אב מסור ומעורב בכל פרט בחייהם</w:t>
      </w:r>
      <w:r>
        <w:rPr>
          <w:rtl w:val="true"/>
        </w:rPr>
        <w:t xml:space="preserve">, </w:t>
      </w:r>
      <w:r>
        <w:rPr>
          <w:rtl w:val="true"/>
        </w:rPr>
        <w:t>חי בזוגיות בריאה וטובה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 חולה במחלה המייבשת ריריות בגוף ומפריעה לתפקודו היום יומי</w:t>
      </w:r>
      <w:r>
        <w:rPr>
          <w:rtl w:val="true"/>
        </w:rPr>
        <w:t xml:space="preserve">, </w:t>
      </w:r>
      <w:r>
        <w:rPr>
          <w:rtl w:val="true"/>
        </w:rPr>
        <w:t>ובשל מחלה זו מקבל טיפול כרוני יום יומי ועירוי דם פעם בחודש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הוא עצמאי בתחום הייבוא</w:t>
      </w:r>
      <w:r>
        <w:rPr>
          <w:rtl w:val="true"/>
        </w:rPr>
        <w:t xml:space="preserve">, </w:t>
      </w:r>
      <w:r>
        <w:rPr>
          <w:rtl w:val="true"/>
        </w:rPr>
        <w:t>לאחר שעבד כעמיל מכס במשך שנים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 ענפים שונים של ייבוא המצריכים רישיון מיוחד ואחרים שאינם מצריכים</w:t>
      </w:r>
      <w:r>
        <w:rPr>
          <w:rtl w:val="true"/>
        </w:rPr>
        <w:t xml:space="preserve">. </w:t>
      </w:r>
      <w:r>
        <w:rPr>
          <w:rtl w:val="true"/>
        </w:rPr>
        <w:t>בחלק מהמקומות מבקשים אישורים בדבר העדר עבר פלילי לייבוא של מוצרי סבון</w:t>
      </w:r>
      <w:r>
        <w:rPr>
          <w:rtl w:val="true"/>
        </w:rPr>
        <w:t xml:space="preserve">, </w:t>
      </w:r>
      <w:r>
        <w:rPr>
          <w:rtl w:val="true"/>
        </w:rPr>
        <w:t>ובכדי להשיג אישור כניסה לנמל אשדוד הוא מציג היעדר הרשעות פליליות</w:t>
      </w:r>
      <w:r>
        <w:rPr>
          <w:rtl w:val="true"/>
        </w:rPr>
        <w:t xml:space="preserve">. </w:t>
      </w:r>
      <w:r>
        <w:rPr>
          <w:rtl w:val="true"/>
        </w:rPr>
        <w:t>על כן יכול להיגרם לו נזק והרישיונות נשק נלקחו על סמך 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באיזוני האינטרסים ראוי לסיים התיק ללא 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לצד המלצת שירות המבחן על </w:t>
      </w:r>
      <w:r>
        <w:rPr>
          <w:b/>
          <w:bCs/>
        </w:rPr>
        <w:t>200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שעות 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הנאשם</w:t>
      </w:r>
      <w:r>
        <w:rPr>
          <w:rtl w:val="true"/>
        </w:rPr>
        <w:t xml:space="preserve"> הוסיף כי נהג ללכת לשטח עם חברים מהשכונה והמשפחה</w:t>
      </w:r>
      <w:r>
        <w:rPr>
          <w:rtl w:val="true"/>
        </w:rPr>
        <w:t xml:space="preserve">. </w:t>
      </w:r>
      <w:r>
        <w:rPr>
          <w:rtl w:val="true"/>
        </w:rPr>
        <w:t>הפעם הגיעו לאזור גבולי של גדר</w:t>
      </w:r>
      <w:r>
        <w:rPr>
          <w:rtl w:val="true"/>
        </w:rPr>
        <w:t xml:space="preserve">, </w:t>
      </w:r>
      <w:r>
        <w:rPr>
          <w:rtl w:val="true"/>
        </w:rPr>
        <w:t>וחש סכנה כשירדו מהרכב</w:t>
      </w:r>
      <w:r>
        <w:rPr>
          <w:rtl w:val="true"/>
        </w:rPr>
        <w:t xml:space="preserve">. </w:t>
      </w:r>
      <w:r>
        <w:rPr>
          <w:rtl w:val="true"/>
        </w:rPr>
        <w:t>נשא על גופו אקדח דרוך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מודה כי עשה טעות והביע צער על מעשיו</w:t>
      </w:r>
      <w:r>
        <w:rPr>
          <w:rtl w:val="true"/>
        </w:rPr>
        <w:t xml:space="preserve">, </w:t>
      </w:r>
      <w:r>
        <w:rPr>
          <w:rtl w:val="true"/>
        </w:rPr>
        <w:t>ביקש כי בית משפט יתחשב במצבו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 ומסקנות</w:t>
      </w:r>
      <w:r>
        <w:rPr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 שנדרשתי למכלול השיקולים האינטרסים הצריכים לעניין וטיעוני הצדדים מצאתי כי בנסיבות אלה אין למצות את הדין עם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rtl w:val="true"/>
        </w:rPr>
        <w:t xml:space="preserve">בהתאם לתיקון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קביעת מתחם העונש ההולם את העבירה בנסיבותיה</w:t>
      </w:r>
      <w:r>
        <w:rPr>
          <w:rtl w:val="true"/>
        </w:rPr>
        <w:t xml:space="preserve">, </w:t>
      </w:r>
      <w:r>
        <w:rPr>
          <w:rtl w:val="true"/>
        </w:rPr>
        <w:t>תיעשה  בהתאם לעקרון ההלימה</w:t>
      </w:r>
      <w:r>
        <w:rPr>
          <w:rtl w:val="true"/>
        </w:rPr>
        <w:t xml:space="preserve">, </w:t>
      </w:r>
      <w:r>
        <w:rPr>
          <w:rtl w:val="true"/>
        </w:rPr>
        <w:t>תוך התחשבות בערך המוגן שנפגע</w:t>
      </w:r>
      <w:r>
        <w:rPr>
          <w:rtl w:val="true"/>
        </w:rPr>
        <w:t xml:space="preserve">, </w:t>
      </w:r>
      <w:r>
        <w:rPr>
          <w:rtl w:val="true"/>
        </w:rPr>
        <w:t>נסיבות ביצוע העבירה ומדיניות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עונשו של הנאשם ייקבע בתוך המתחם</w:t>
      </w:r>
      <w:r>
        <w:rPr>
          <w:rtl w:val="true"/>
        </w:rPr>
        <w:t xml:space="preserve">, </w:t>
      </w:r>
      <w:r>
        <w:rPr>
          <w:rtl w:val="true"/>
        </w:rPr>
        <w:t xml:space="preserve">או יסטה ממנו לחומרה או קולא בהתאם לנסיבות שאינן קשורות לביצוע העבירה המנויות 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</w:hyperlink>
      <w:r>
        <w:rPr>
          <w:b/>
          <w:b/>
          <w:bCs/>
          <w:rtl w:val="true"/>
        </w:rPr>
        <w:t xml:space="preserve"> 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הערך המוגן שנפגע במעשה הנאשם עניינו שמירה על חיי אדם ועל שלמות גופו מפני יצירת סיכון לפגיעה בהם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 פגע הנאשם בערכים המוגנים בעצם יצירת סיכון לסובבים אותו</w:t>
      </w:r>
      <w:r>
        <w:rPr>
          <w:rtl w:val="true"/>
        </w:rPr>
        <w:t xml:space="preserve">, </w:t>
      </w:r>
      <w:r>
        <w:rPr>
          <w:rtl w:val="true"/>
        </w:rPr>
        <w:t>ולו עצמו</w:t>
      </w:r>
      <w:r>
        <w:rPr>
          <w:rtl w:val="true"/>
        </w:rPr>
        <w:t xml:space="preserve">, </w:t>
      </w:r>
      <w:r>
        <w:rPr>
          <w:rtl w:val="true"/>
        </w:rPr>
        <w:t>בנשיאת החפץ המסכן חיים שלא בהתאם לכללי הזהירות החלים עליו</w:t>
      </w:r>
      <w:r>
        <w:rPr>
          <w:rtl w:val="true"/>
        </w:rPr>
        <w:t xml:space="preserve">, </w:t>
      </w:r>
      <w:r>
        <w:rPr>
          <w:rtl w:val="true"/>
        </w:rPr>
        <w:t>והגם שלא נגרם כל נזק בפועל –הרי שהעבירה מתגבשת בעצם יצירת הסיכון האמור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מנסיבות הקשורות בביצוע העבירה</w:t>
      </w:r>
      <w:r>
        <w:rPr>
          <w:rtl w:val="true"/>
        </w:rPr>
        <w:t xml:space="preserve"> עולה כי נהג בפזיזות כאמור בחפץ מסוכן שבהחזקתו שעלול לסכן חיי אדם ולא נקט אמצעי זהירות נאותים מפני סכנה מסתברת הכרוכה 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הנזק הצפוי בנסיבות אלה עלול היה להיות קשה</w:t>
      </w:r>
      <w:r>
        <w:rPr>
          <w:rtl w:val="true"/>
        </w:rPr>
        <w:t xml:space="preserve">, </w:t>
      </w:r>
      <w:r>
        <w:rPr>
          <w:rtl w:val="true"/>
        </w:rPr>
        <w:t>מקום בו הייתה הפזיזות בה נהג בחפץ המסוכן מביאה לפציעתו של אדם אחר</w:t>
      </w:r>
      <w:r>
        <w:rPr>
          <w:rtl w:val="true"/>
        </w:rPr>
        <w:t xml:space="preserve">, </w:t>
      </w:r>
      <w:r>
        <w:rPr>
          <w:rtl w:val="true"/>
        </w:rPr>
        <w:t>לקיפוח חיים</w:t>
      </w:r>
      <w:r>
        <w:rPr>
          <w:rtl w:val="true"/>
        </w:rPr>
        <w:t xml:space="preserve">, </w:t>
      </w:r>
      <w:r>
        <w:rPr>
          <w:rtl w:val="true"/>
        </w:rPr>
        <w:t>או אף לגרום נזק לרכוש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 לציין כי מקום בו היו לנאשם רישיונות לנשיאת שני סוגי נשק</w:t>
      </w:r>
      <w:r>
        <w:rPr>
          <w:rtl w:val="true"/>
        </w:rPr>
        <w:t xml:space="preserve">, </w:t>
      </w:r>
      <w:r>
        <w:rPr>
          <w:rtl w:val="true"/>
        </w:rPr>
        <w:t>הרי שהיה מודע היטב לסיכונים הכרוכים בהתנהגותו כמו גם לכללי הזהירות שעליו לנקוט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הנאשם מודה בהתנהלותו הפזיזה אלא שהוא מסבירה בחשש בשל הקרבה לגדר ההפרדה במקום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הגם שמדובר בעבירה שאין להקל בה ראש</w:t>
      </w:r>
      <w:r>
        <w:rPr>
          <w:rtl w:val="true"/>
        </w:rPr>
        <w:t xml:space="preserve">, </w:t>
      </w:r>
      <w:r>
        <w:rPr>
          <w:rtl w:val="true"/>
        </w:rPr>
        <w:t xml:space="preserve">שבצדיה ענישה מרבית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ושסיכוניה פורטו לעיל</w:t>
      </w:r>
      <w:r>
        <w:rPr>
          <w:rtl w:val="true"/>
        </w:rPr>
        <w:t xml:space="preserve">, </w:t>
      </w:r>
      <w:r>
        <w:rPr>
          <w:rtl w:val="true"/>
        </w:rPr>
        <w:t>אין מדובר בעבירה החמורה בספר החוקים</w:t>
      </w:r>
      <w:r>
        <w:rPr>
          <w:rtl w:val="true"/>
        </w:rPr>
        <w:t xml:space="preserve">, </w:t>
      </w:r>
      <w:r>
        <w:rPr>
          <w:rtl w:val="true"/>
        </w:rPr>
        <w:t>ושנסיבותיה</w:t>
      </w:r>
      <w:r>
        <w:rPr>
          <w:rtl w:val="true"/>
        </w:rPr>
        <w:t xml:space="preserve">, </w:t>
      </w:r>
      <w:r>
        <w:rPr>
          <w:rtl w:val="true"/>
        </w:rPr>
        <w:t>כפי שאלו משתקפים בעובדות כתב האישום ובסעיף האישום</w:t>
      </w:r>
      <w:r>
        <w:rPr>
          <w:rtl w:val="true"/>
        </w:rPr>
        <w:t xml:space="preserve">, </w:t>
      </w:r>
      <w:r>
        <w:rPr>
          <w:rtl w:val="true"/>
        </w:rPr>
        <w:t>אינן מן הרף הגבוה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מתחם הענישה בעבירה בה הורשע הנאשם בנסיבות אלה  </w:t>
      </w:r>
      <w:r>
        <w:rPr>
          <w:b/>
          <w:b/>
          <w:bCs/>
          <w:rtl w:val="true"/>
        </w:rPr>
        <w:t>נע בין מאסר מותנה ל</w:t>
      </w:r>
      <w:r>
        <w:rPr>
          <w:b/>
          <w:bCs/>
          <w:rtl w:val="true"/>
        </w:rPr>
        <w:t>-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ייאמר כבר כעת כי בחינת המעשה בנסיבותיו מעלה כי מדובר בפגיעה </w:t>
      </w:r>
      <w:r>
        <w:rPr>
          <w:u w:val="single"/>
          <w:rtl w:val="true"/>
        </w:rPr>
        <w:t>ברף הנמוך</w:t>
      </w:r>
      <w:r>
        <w:rPr>
          <w:rtl w:val="true"/>
        </w:rPr>
        <w:t xml:space="preserve"> של הערכים המוגנים</w:t>
      </w:r>
      <w:r>
        <w:rPr>
          <w:rtl w:val="true"/>
        </w:rPr>
        <w:t xml:space="preserve">, </w:t>
      </w:r>
      <w:r>
        <w:rPr>
          <w:rtl w:val="true"/>
        </w:rPr>
        <w:t>בהשוואה למקרים אחרים החוסים תחת אותו סעיף 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מנסיבות שאינן קשורות בביצוע העבירה</w:t>
      </w:r>
      <w:r>
        <w:rPr>
          <w:rtl w:val="true"/>
        </w:rPr>
        <w:t xml:space="preserve"> עולה כי הנאשם נעדר עבר פלילי</w:t>
      </w:r>
      <w:r>
        <w:rPr>
          <w:rtl w:val="true"/>
        </w:rPr>
        <w:t xml:space="preserve">, </w:t>
      </w:r>
      <w:r>
        <w:rPr>
          <w:rtl w:val="true"/>
        </w:rPr>
        <w:t>ואף לא שב להסתבך בפלילים בשנתיים שחלפו למן ביצוע 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 בנאשם שהודה בביצוע העבירות</w:t>
      </w:r>
      <w:r>
        <w:rPr>
          <w:rtl w:val="true"/>
        </w:rPr>
        <w:t xml:space="preserve">, </w:t>
      </w:r>
      <w:r>
        <w:rPr>
          <w:rtl w:val="true"/>
        </w:rPr>
        <w:t>לקח אחריות במסגרת הסדר טיעון ובפני השירות</w:t>
      </w:r>
      <w:r>
        <w:rPr>
          <w:rtl w:val="true"/>
        </w:rPr>
        <w:t xml:space="preserve">, </w:t>
      </w:r>
      <w:r>
        <w:rPr>
          <w:rtl w:val="true"/>
        </w:rPr>
        <w:t>וחסך זמן שיפוטי 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תושב טייבה</w:t>
      </w:r>
      <w:r>
        <w:rPr>
          <w:rtl w:val="true"/>
        </w:rPr>
        <w:t xml:space="preserve">, </w:t>
      </w:r>
      <w:r>
        <w:rPr>
          <w:rtl w:val="true"/>
        </w:rPr>
        <w:t xml:space="preserve">אב לששה ילדים בגילאי </w:t>
      </w:r>
      <w:r>
        <w:rPr/>
        <w:t>8-20</w:t>
      </w:r>
      <w:r>
        <w:rPr>
          <w:rtl w:val="true"/>
        </w:rPr>
        <w:t xml:space="preserve">, </w:t>
      </w:r>
      <w:r>
        <w:rPr>
          <w:rtl w:val="true"/>
        </w:rPr>
        <w:t>העובד מזה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כעצמאי ביבוא מוצרים לבית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עזב את מערכת החינוך לאחר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לימוד עקב מצוקה כלכלית של 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ביטא חשש כי הרשעה בדין תפגע בהמשך עבודתו כייבואן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 לוקח אחריות על ביצוע העבירה והסביר אותה על רקע תחושת פחד וחשש בשטח הקרוב לגדר השטחים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הדגיש את חריגות התנהגותו לפיה בדרך כלל זהיר מאוד ושומר על כללי הבטיחות בהחזקת 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מהתסקיר עולה כי למעט אופי העבירה</w:t>
      </w:r>
      <w:r>
        <w:rPr>
          <w:rtl w:val="true"/>
        </w:rPr>
        <w:t xml:space="preserve">, </w:t>
      </w:r>
      <w:r>
        <w:rPr>
          <w:rtl w:val="true"/>
        </w:rPr>
        <w:t>לא נמצאו כל גורמי סיכון בעניינו</w:t>
      </w:r>
      <w:r>
        <w:rPr>
          <w:rtl w:val="true"/>
        </w:rPr>
        <w:t xml:space="preserve">, </w:t>
      </w:r>
      <w:r>
        <w:rPr>
          <w:rtl w:val="true"/>
        </w:rPr>
        <w:t>בעוד שגורמים בדבר סיכויים לשיקומו קיימים למכביר</w:t>
      </w:r>
      <w:r>
        <w:rPr>
          <w:rtl w:val="true"/>
        </w:rPr>
        <w:t xml:space="preserve">, </w:t>
      </w:r>
      <w:r>
        <w:rPr>
          <w:rtl w:val="true"/>
        </w:rPr>
        <w:t>ובכלל זה העדר עבר פלילי והעובדה כי בחלוף שנתיים מביצוע העבירה לא נפתחו תיקים חדשים</w:t>
      </w:r>
      <w:r>
        <w:rPr>
          <w:rtl w:val="true"/>
        </w:rPr>
        <w:t xml:space="preserve">, </w:t>
      </w:r>
      <w:r>
        <w:rPr>
          <w:rtl w:val="true"/>
        </w:rPr>
        <w:t>היותו של ההליך המשפטי גורם מרתיע עבורו ומציב גבול ברור</w:t>
      </w:r>
      <w:r>
        <w:rPr>
          <w:rtl w:val="true"/>
        </w:rPr>
        <w:t xml:space="preserve">, </w:t>
      </w:r>
      <w:r>
        <w:rPr>
          <w:rtl w:val="true"/>
        </w:rPr>
        <w:t>תפקודו התקין בדרך כלל בכל תחומי חייו</w:t>
      </w:r>
      <w:r>
        <w:rPr>
          <w:rtl w:val="true"/>
        </w:rPr>
        <w:t xml:space="preserve">, </w:t>
      </w:r>
      <w:r>
        <w:rPr>
          <w:rtl w:val="true"/>
        </w:rPr>
        <w:t>ולקיחת אחריות על 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בנסיבות אלה העריך השירות כי הסיכון להישנות התנהגות עוברת חוק הצטמצם באופן משמעותי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השירות התרשם כי הנאשם אינו בעל דפוסי חשיבה או התנהגות עבריינית</w:t>
      </w:r>
      <w:r>
        <w:rPr>
          <w:rtl w:val="true"/>
        </w:rPr>
        <w:t xml:space="preserve">, </w:t>
      </w:r>
      <w:r>
        <w:rPr>
          <w:rtl w:val="true"/>
        </w:rPr>
        <w:t>התנהגותו דנן לא בוצעה על רקע עברייני</w:t>
      </w:r>
      <w:r>
        <w:rPr>
          <w:rtl w:val="true"/>
        </w:rPr>
        <w:t xml:space="preserve">, </w:t>
      </w:r>
      <w:r>
        <w:rPr>
          <w:rtl w:val="true"/>
        </w:rPr>
        <w:t>וכי הוא מבין את המניעים הרגשיים בבסיס התנהגותו והפנים את החמור והפסול במעשיו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ממסמכים רפואיים שהוגשו בפני בימ</w:t>
      </w:r>
      <w:r>
        <w:rPr>
          <w:rtl w:val="true"/>
        </w:rPr>
        <w:t>"</w:t>
      </w:r>
      <w:r>
        <w:rPr>
          <w:rtl w:val="true"/>
        </w:rPr>
        <w:t>ש ושירות המבחן עולה כי מזה 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 הנאשם סובל ממחלה כרונית ומטופל באופן קבוע בעירוי תוך ורידי פעם בחודש ובטיפול תרופתי נוסף</w:t>
      </w:r>
      <w:r>
        <w:rPr>
          <w:rtl w:val="true"/>
        </w:rPr>
        <w:t xml:space="preserve">, </w:t>
      </w:r>
      <w:r>
        <w:rPr>
          <w:rtl w:val="true"/>
        </w:rPr>
        <w:t>כשהמחלה פוגעת בתפקודו היומיומי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לבסוף ממליץ השירות על הטלת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בלא הרשעתו בדין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ייאמר כבר כעת</w:t>
      </w:r>
      <w:r>
        <w:rPr>
          <w:rtl w:val="true"/>
        </w:rPr>
        <w:t xml:space="preserve">, </w:t>
      </w:r>
      <w:r>
        <w:rPr>
          <w:rtl w:val="true"/>
        </w:rPr>
        <w:t>כי בנסיבות אלה מצאתי כי קיימת הצדקה לחרוג ממתחם הענישה הנ</w:t>
      </w:r>
      <w:r>
        <w:rPr>
          <w:rtl w:val="true"/>
        </w:rPr>
        <w:t>"</w:t>
      </w:r>
      <w:r>
        <w:rPr>
          <w:rtl w:val="true"/>
        </w:rPr>
        <w:t>ל לקולא מידה ניכרת בעניינו של הנאשם מטעמי 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בכל הנוגע לסוגיית ההרשעה בדין – ובהמשך להמלצת 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שירות המבחן מצאתי כי במכלול השיקולים דנן ראוי ונכון לסיים את ההליך בעניינו של הנאשם ללא הרשעתו בדין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הכלל הוא כי מקום בו נקבע שנאשם ביצע את העבירה</w:t>
      </w:r>
      <w:r>
        <w:rPr>
          <w:rtl w:val="true"/>
        </w:rPr>
        <w:t xml:space="preserve">- </w:t>
      </w:r>
      <w:r>
        <w:rPr>
          <w:rtl w:val="true"/>
        </w:rPr>
        <w:t>יורשע בדין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בכפוף לתנאים מצטברים שהתוותה הפסיקה 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2083/96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תמר כתב 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נב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>
          <w:rtl w:val="true"/>
        </w:rPr>
        <w:t>במקרים מיוחדים</w:t>
      </w:r>
      <w:r>
        <w:rPr>
          <w:rtl w:val="true"/>
        </w:rPr>
        <w:t xml:space="preserve">, </w:t>
      </w:r>
      <w:r>
        <w:rPr>
          <w:rtl w:val="true"/>
        </w:rPr>
        <w:t>ניתן להימנע מהרשעתו של נאשם חרף האמור</w:t>
      </w:r>
      <w:r>
        <w:rPr>
          <w:rtl w:val="true"/>
        </w:rPr>
        <w:t xml:space="preserve">, </w:t>
      </w:r>
      <w:r>
        <w:rPr>
          <w:rtl w:val="true"/>
        </w:rPr>
        <w:t>בהתאם לסוג העבירה המאפשר הימנעות מהרשעה ללא פגיעה בשיקולי ענישה אחרים לצד פגיעה קונקרטית וקשה בשיקומו העולה על התועלת שבהרשעתו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מדובר בעבירה חמורה</w:t>
      </w:r>
      <w:r>
        <w:rPr>
          <w:rtl w:val="true"/>
        </w:rPr>
        <w:t xml:space="preserve">, </w:t>
      </w:r>
      <w:r>
        <w:rPr>
          <w:rtl w:val="true"/>
        </w:rPr>
        <w:t>שיש בה סיכון חיי אדם</w:t>
      </w:r>
      <w:r>
        <w:rPr>
          <w:rtl w:val="true"/>
        </w:rPr>
        <w:t xml:space="preserve">, </w:t>
      </w:r>
      <w:r>
        <w:rPr>
          <w:rtl w:val="true"/>
        </w:rPr>
        <w:t>אולם לא בכדי שונו עבודות כתב האישום וסעיפי האישום לקולא באופן ממשי בעניינו כך שלא יוחסה לו עבירת 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 סוג העבירה והיותה ברף הנמוך כאמור של עבירות מסוג זה</w:t>
      </w:r>
      <w:r>
        <w:rPr>
          <w:rtl w:val="true"/>
        </w:rPr>
        <w:t xml:space="preserve">, </w:t>
      </w:r>
      <w:r>
        <w:rPr>
          <w:rtl w:val="true"/>
        </w:rPr>
        <w:t>לא מצאתי כי קיימת מניעה אינהרנטית לסיים את ההליך ללא הרשעה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הגם שהאינטרס הציבורי ברור בענייננו</w:t>
      </w:r>
      <w:r>
        <w:rPr>
          <w:rtl w:val="true"/>
        </w:rPr>
        <w:t xml:space="preserve">, </w:t>
      </w:r>
      <w:r>
        <w:rPr>
          <w:rtl w:val="true"/>
        </w:rPr>
        <w:t>עדיין אין בביטול הרשעת הנאשם כדי לפגוע בשיקולי ענישה אחרים</w:t>
      </w:r>
      <w:r>
        <w:rPr>
          <w:rtl w:val="true"/>
        </w:rPr>
        <w:t xml:space="preserve">, </w:t>
      </w:r>
      <w:r>
        <w:rPr>
          <w:rtl w:val="true"/>
        </w:rPr>
        <w:t>דוגמת הרתעה או גמול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 בנאשם שהתסקיר בעניינו חיובי מאוד</w:t>
      </w:r>
      <w:r>
        <w:rPr>
          <w:rtl w:val="true"/>
        </w:rPr>
        <w:t xml:space="preserve">, </w:t>
      </w:r>
      <w:r>
        <w:rPr>
          <w:rtl w:val="true"/>
        </w:rPr>
        <w:t>הוא נעדר עבר פלילי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המנהל אורחי חיים נורמטיבי לחלוטין</w:t>
      </w:r>
      <w:r>
        <w:rPr>
          <w:rtl w:val="true"/>
        </w:rPr>
        <w:t xml:space="preserve">, </w:t>
      </w:r>
      <w:r>
        <w:rPr>
          <w:rtl w:val="true"/>
        </w:rPr>
        <w:t>ומתפרנס בכבוד</w:t>
      </w:r>
      <w:r>
        <w:rPr>
          <w:rtl w:val="true"/>
        </w:rPr>
        <w:t xml:space="preserve">, </w:t>
      </w:r>
      <w:r>
        <w:rPr>
          <w:rtl w:val="true"/>
        </w:rPr>
        <w:t>ועל כן לא ניתן לומר כי קיים אינטרס הרתעה מובהק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 היותן של נסיבות העבירה ברף הנמוך – ונוכח נסיבותיו האישיות של הנאשם שבפניי</w:t>
      </w:r>
      <w:r>
        <w:rPr>
          <w:rtl w:val="true"/>
        </w:rPr>
        <w:t xml:space="preserve">- </w:t>
      </w:r>
      <w:r>
        <w:rPr>
          <w:rtl w:val="true"/>
        </w:rPr>
        <w:t>הרי שאף אין לבכר את אינטרס הגמול ויש להעדיף את אינטרס שיקומו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מדובר בנאשם העובד מזה 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 כייבואן של מוצרים לבית</w:t>
      </w:r>
      <w:r>
        <w:rPr>
          <w:rtl w:val="true"/>
        </w:rPr>
        <w:t xml:space="preserve">, </w:t>
      </w:r>
      <w:r>
        <w:rPr>
          <w:rtl w:val="true"/>
        </w:rPr>
        <w:t>ובכלל זה מוצרים הטעונים לעיתים אישור בדבר העדר עבר פלילי</w:t>
      </w:r>
      <w:r>
        <w:rPr>
          <w:rtl w:val="true"/>
        </w:rPr>
        <w:t xml:space="preserve">, </w:t>
      </w:r>
      <w:r>
        <w:rPr>
          <w:rtl w:val="true"/>
        </w:rPr>
        <w:t>כמו גם אישור כניסה לנמל אשדוד הטעון אישור 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לציין בהקשר זה את האמור 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24457-03-15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פבל גוטרמן נ</w:t>
      </w:r>
      <w:r>
        <w:rPr>
          <w:rFonts w:cs="Arial" w:ascii="Arial" w:hAnsi="Arial"/>
          <w:b/>
          <w:bCs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30.8.15</w:t>
      </w:r>
      <w:r>
        <w:rPr>
          <w:rFonts w:cs="Arial" w:ascii="Arial" w:hAnsi="Arial"/>
          <w:rtl w:val="true"/>
        </w:rPr>
        <w:t>)-</w:t>
      </w:r>
    </w:p>
    <w:p>
      <w:pPr>
        <w:pStyle w:val="Normal"/>
        <w:ind w:start="1701" w:end="170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זאת אלא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בין שני הפרמטרים הנלקחים בחשבון לצורך בחינת שאלת אי ההרשעה מתקיימת מעין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מקבילית כוחות</w:t>
      </w:r>
      <w:r>
        <w:rPr>
          <w:rFonts w:cs="Arial" w:ascii="Arial" w:hAnsi="Arial"/>
          <w:b/>
          <w:bCs/>
          <w:rtl w:val="true"/>
        </w:rPr>
        <w:t xml:space="preserve">"; </w:t>
      </w:r>
      <w:r>
        <w:rPr>
          <w:rFonts w:ascii="Arial" w:hAnsi="Arial" w:cs="Arial"/>
          <w:b/>
          <w:b/>
          <w:bCs/>
          <w:rtl w:val="true"/>
        </w:rPr>
        <w:t>ככל שמעשי העבירה חמורים 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אין להסתפק בפגיעה כללית ועתידית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נדרשת פגיעה קונקרטית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ברורה ומוחשית יותר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ולהיפך – ככל שמעשי העבירה קלים 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כך ניתן להסתפק בפגיעה כללית 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לרבות תוך התחשבות בעובדה שמדובר בצעירים המצויים בראשית דרכם ושעתידם עוד לפניהם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כמובן שכל זאת בתנאי שמלכתחילה אכן מדובר בעבירה מהסוג ומהנסיבות שמצדיקות בחינת האפשרות לוותר על ההרשעה מבלי שהדבר יפגע באופן חמור באינטרס הציבורי</w:t>
      </w:r>
      <w:r>
        <w:rPr>
          <w:rFonts w:cs="Arial" w:ascii="Arial" w:hAnsi="Arial"/>
          <w:b/>
          <w:bCs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הואיל ומדובר בעבירה ברף הנמוך</w:t>
      </w:r>
      <w:r>
        <w:rPr>
          <w:rtl w:val="true"/>
        </w:rPr>
        <w:t xml:space="preserve">, </w:t>
      </w:r>
      <w:r>
        <w:rPr>
          <w:rtl w:val="true"/>
        </w:rPr>
        <w:t>הרי שדי בנסיבות הנ</w:t>
      </w:r>
      <w:r>
        <w:rPr>
          <w:rtl w:val="true"/>
        </w:rPr>
        <w:t>"</w:t>
      </w:r>
      <w:r>
        <w:rPr>
          <w:rtl w:val="true"/>
        </w:rPr>
        <w:t>ל שהוצגו ע</w:t>
      </w:r>
      <w:r>
        <w:rPr>
          <w:rtl w:val="true"/>
        </w:rPr>
        <w:t>"</w:t>
      </w:r>
      <w:r>
        <w:rPr>
          <w:rtl w:val="true"/>
        </w:rPr>
        <w:t>י הנאשם כדי להוות פגיעה כלכלית המספיקה לביטול 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 כל האמור</w:t>
      </w:r>
      <w:r>
        <w:rPr>
          <w:rtl w:val="true"/>
        </w:rPr>
        <w:t xml:space="preserve">, </w:t>
      </w:r>
      <w:r>
        <w:rPr>
          <w:rtl w:val="true"/>
        </w:rPr>
        <w:t>אני סבורה כי הרשעה בדין עלולה להזיק לנאשם במידה העולה על כל תועלת שבהרשעתו</w:t>
      </w:r>
      <w:r>
        <w:rPr>
          <w:rtl w:val="true"/>
        </w:rPr>
        <w:t xml:space="preserve">, </w:t>
      </w:r>
      <w:r>
        <w:rPr>
          <w:rtl w:val="true"/>
        </w:rPr>
        <w:t>ועל כן הריני מבטלת את הרשעתו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עד כה בעצם החקירה המשטרתית וניהול ההליך לראשונה בחייו והעובדה שרישיונות לנשק שהיו ברשותו נשללו ממנו</w:t>
      </w:r>
      <w:r>
        <w:rPr>
          <w:rtl w:val="true"/>
        </w:rPr>
        <w:t xml:space="preserve">, </w:t>
      </w:r>
      <w:r>
        <w:rPr>
          <w:rtl w:val="true"/>
        </w:rPr>
        <w:t>כבר שילם הנאשם מחיר לא מבוטל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ועל מנת לקיים את עקרון ההלימה</w:t>
      </w:r>
      <w:r>
        <w:rPr>
          <w:rtl w:val="true"/>
        </w:rPr>
        <w:t xml:space="preserve">, </w:t>
      </w:r>
      <w:r>
        <w:rPr>
          <w:rtl w:val="true"/>
        </w:rPr>
        <w:t>מצאתי כי יש לקבל את המלצת השירות ולהטיל צו של</w:t>
      </w:r>
      <w:r>
        <w:rPr>
          <w:rtl w:val="true"/>
        </w:rPr>
        <w:t>"</w:t>
      </w:r>
      <w:r>
        <w:rPr>
          <w:rtl w:val="true"/>
        </w:rPr>
        <w:t>צ בהיקף עליו המליץ</w:t>
      </w:r>
      <w:r>
        <w:rPr>
          <w:rtl w:val="true"/>
        </w:rPr>
        <w:t xml:space="preserve">, </w:t>
      </w:r>
      <w:r>
        <w:rPr>
          <w:rtl w:val="true"/>
        </w:rPr>
        <w:t>באופן שיהיה בו כדי להלום את חומרת העבירה אך לא לפגוע בפרנסתו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הריני </w:t>
      </w:r>
      <w:r>
        <w:rPr>
          <w:u w:val="single"/>
          <w:rtl w:val="true"/>
        </w:rPr>
        <w:t>מבטלת את הרשעת הנאשם</w:t>
      </w:r>
      <w:r>
        <w:rPr>
          <w:rtl w:val="true"/>
        </w:rPr>
        <w:t xml:space="preserve">, </w:t>
      </w:r>
      <w:r>
        <w:rPr>
          <w:rtl w:val="true"/>
        </w:rPr>
        <w:t>ומטילה עליו של</w:t>
      </w:r>
      <w:r>
        <w:rPr>
          <w:rtl w:val="true"/>
        </w:rPr>
        <w:t>"</w:t>
      </w:r>
      <w:r>
        <w:rPr>
          <w:rtl w:val="true"/>
        </w:rPr>
        <w:t xml:space="preserve">צ בהיקף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 על פי תוכנית שירות 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זכות ערעור לבית המשפט העליון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10</w:t>
      </w:r>
      <w:r>
        <w:rPr>
          <w:rtl w:val="true"/>
        </w:rPr>
        <w:t>.</w:t>
        <w:tab/>
      </w:r>
      <w:r>
        <w:rPr>
          <w:rtl w:val="true"/>
        </w:rPr>
        <w:t>עותק יישלח לשירות המבחן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Times New Roman" w:hAnsi="Times New Roman" w:cs="FrankRuehl"/>
          <w:sz w:val="6"/>
          <w:szCs w:val="6"/>
        </w:rPr>
      </w:pPr>
      <w:r>
        <w:rPr>
          <w:rFonts w:cs="FrankRuehl" w:ascii="Times New Roman" w:hAnsi="Times New Roman"/>
          <w:sz w:val="6"/>
          <w:szCs w:val="6"/>
          <w:rtl w:val="true"/>
        </w:rPr>
        <w:t>&lt;</w:t>
      </w:r>
      <w:r>
        <w:rPr>
          <w:rFonts w:cs="FrankRuehl" w:ascii="Times New Roman" w:hAnsi="Times New Roman"/>
          <w:sz w:val="6"/>
          <w:szCs w:val="6"/>
        </w:rPr>
        <w:t>#3#</w:t>
      </w:r>
      <w:r>
        <w:rPr>
          <w:rFonts w:cs="FrankRuehl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Times New Roman" w:hAnsi="Times New Roman" w:cs="FrankRuehl"/>
          <w:sz w:val="6"/>
          <w:szCs w:val="6"/>
        </w:rPr>
      </w:pPr>
      <w:r>
        <w:rPr>
          <w:rFonts w:cs="FrankRuehl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06/12/2017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12"/>
        <w:ind w:end="0"/>
        <w:jc w:val="center"/>
        <w:rPr>
          <w:rFonts w:ascii="David;David" w:hAnsi="David;David" w:cs="David;David"/>
          <w:u w:val="none"/>
        </w:rPr>
      </w:pPr>
      <w:r>
        <w:rPr>
          <w:rFonts w:cs="David;David" w:ascii="David;David" w:hAnsi="David;David"/>
          <w:u w:val="none"/>
          <w:rtl w:val="true"/>
        </w:rPr>
      </w:r>
    </w:p>
    <w:p>
      <w:pPr>
        <w:pStyle w:val="Normal"/>
        <w:keepNext w:val="true"/>
        <w:ind w:end="0"/>
        <w:jc w:val="start"/>
        <w:rPr>
          <w:rFonts w:ascii="David;David" w:hAnsi="David;David" w:cs="David;David"/>
          <w:color w:val="000000"/>
          <w:sz w:val="22"/>
          <w:szCs w:val="22"/>
          <w:u w:val="none"/>
        </w:rPr>
      </w:pPr>
      <w:r>
        <w:rPr>
          <w:rFonts w:cs="David;David"/>
          <w:color w:val="000000"/>
          <w:sz w:val="22"/>
          <w:szCs w:val="22"/>
          <w:u w:val="non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45095-04-16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רימאח עבד אל קאדר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עצור בפיקוח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x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;David" w:hAnsi="David;David" w:eastAsia="David;David" w:cs="David;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David;David" w:hAnsi="David;David" w:eastAsia="David;David" w:cs="David;David"/>
      <w:sz w:val="24"/>
      <w:szCs w:val="24"/>
    </w:rPr>
  </w:style>
  <w:style w:type="character" w:styleId="CharChar">
    <w:name w:val=" Char Char"/>
    <w:qFormat/>
    <w:rPr>
      <w:rFonts w:ascii="David;David" w:hAnsi="David;David" w:eastAsia="David;David" w:cs="David;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;David"/>
      <w:b/>
      <w:bCs/>
      <w:sz w:val="26"/>
      <w:szCs w:val="26"/>
    </w:rPr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8.5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338.5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case/5810781" TargetMode="External"/><Relationship Id="rId9" Type="http://schemas.openxmlformats.org/officeDocument/2006/relationships/hyperlink" Target="http://www.nevo.co.il/case/20114120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2018-05-08T12:47:00Z</dcterms:created>
  <dc:creator> </dc:creator>
  <dc:description/>
  <cp:keywords/>
  <dc:language>en-IL</dc:language>
  <cp:lastModifiedBy>run</cp:lastModifiedBy>
  <dcterms:modified xsi:type="dcterms:W3CDTF">2018-05-08T12:47:00Z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רימאח עבד אל קאדר;מוחמד אלעיאד מסארוה ;באקרי מסארוה;מג'ד גבאלי ;האני עאזם ;סעיד עבד אלקאדר ;מואמן אלעיאד מסארוה ;עלאא אל קאדר ;אמיר עבד אל קאדר ;מוהנד גבאלי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5810781;20114120</vt:lpwstr>
  </property>
  <property fmtid="{D5CDD505-2E9C-101B-9397-08002B2CF9AE}" pid="9" name="CITY">
    <vt:lpwstr>מרכז</vt:lpwstr>
  </property>
  <property fmtid="{D5CDD505-2E9C-101B-9397-08002B2CF9AE}" pid="10" name="DATE">
    <vt:lpwstr>20171206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נאוה בכור</vt:lpwstr>
  </property>
  <property fmtid="{D5CDD505-2E9C-101B-9397-08002B2CF9AE}" pid="14" name="LAWLISTTMP1">
    <vt:lpwstr>70301/338.5;40ja</vt:lpwstr>
  </property>
  <property fmtid="{D5CDD505-2E9C-101B-9397-08002B2CF9AE}" pid="15" name="LAWYER">
    <vt:lpwstr>לירן פנטוך;חמוטל פז ממשרד נבון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45095</vt:lpwstr>
  </property>
  <property fmtid="{D5CDD505-2E9C-101B-9397-08002B2CF9AE}" pid="22" name="NEWPARTB">
    <vt:lpwstr>04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390020171206</vt:lpwstr>
  </property>
  <property fmtid="{D5CDD505-2E9C-101B-9397-08002B2CF9AE}" pid="34" name="TYPE_N_DATE">
    <vt:lpwstr>39020171206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