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45191-09-14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אגברייה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Arial" w:ascii="Arial" w:hAnsi="Arial"/>
                <w:rtl w:val="true"/>
              </w:rPr>
              <w:t>.</w:t>
            </w:r>
            <w:r>
              <w:rPr>
                <w:rtl w:val="true"/>
              </w:rPr>
              <w:t>עבדאללה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אגברייה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בליווי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סלטון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Arial" w:ascii="Arial" w:hAnsi="Arial"/>
                <w:rtl w:val="true"/>
              </w:rPr>
              <w:t>.</w:t>
            </w: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יונס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בליווי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טולדו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3</w:t>
            </w:r>
            <w:r>
              <w:rPr>
                <w:rFonts w:cs="Arial" w:ascii="Arial" w:hAnsi="Arial"/>
                <w:rtl w:val="true"/>
              </w:rPr>
              <w:t>.</w:t>
            </w:r>
            <w:r>
              <w:rPr>
                <w:rtl w:val="true"/>
              </w:rPr>
              <w:t>עומרי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בעצמו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רצון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דרחי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332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427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454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498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rtl w:val="true"/>
          </w:rPr>
          <w:t>בפרק יד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rtl w:val="true"/>
          </w:rPr>
          <w:t>מעצרים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rtl w:val="true"/>
          </w:rPr>
          <w:t>תשנ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1996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</w:rPr>
          <w:t>60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61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ascii="FrankRuehl" w:hAnsi="FrankRuehl" w:cs="FrankRuehl"/>
            <w:rtl w:val="true"/>
          </w:rPr>
          <w:t>פרק ג</w:t>
        </w:r>
        <w:r>
          <w:rPr>
            <w:rStyle w:val="Hyperlink"/>
            <w:rFonts w:cs="FrankRuehl" w:ascii="FrankRuehl" w:hAnsi="FrankRuehl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</w:t>
            </w: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המעשים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והאישומים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8" w:name="ABSTRACT_START"/>
      <w:bookmarkEnd w:id="8"/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אלי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'.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bookmarkStart w:id="9" w:name="ABSTRACT_END"/>
      <w:bookmarkEnd w:id="9"/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28.5.12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22:15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כישלון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20.9.12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08:10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0.45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הקדמית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במכסה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ובשמשת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בפעולתם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ביודעו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ישתמשו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ההרשעה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ופרטי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ההסדר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1.6.15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499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)(</w:t>
        </w:r>
        <w:r>
          <w:rPr>
            <w:rStyle w:val="Hyperlink"/>
            <w:rFonts w:cs="Calibri" w:ascii="Calibri" w:hAnsi="Calibri"/>
          </w:rPr>
          <w:t>1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329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)(</w:t>
        </w:r>
        <w:r>
          <w:rPr>
            <w:rStyle w:val="Hyperlink"/>
            <w:rFonts w:cs="Calibri" w:ascii="Calibri" w:hAnsi="Calibri"/>
          </w:rPr>
          <w:t>2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332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cs="Calibri" w:ascii="Calibri" w:hAnsi="Calibri"/>
          </w:rPr>
          <w:t>3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427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413</w:t>
        </w:r>
        <w:r>
          <w:rPr>
            <w:rStyle w:val="Hyperlink"/>
            <w:rFonts w:ascii="Calibri" w:hAnsi="Calibri" w:cs="Calibri"/>
            <w:rtl w:val="true"/>
          </w:rPr>
          <w:t>ג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היזק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454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427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8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499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)(</w:t>
        </w:r>
        <w:r>
          <w:rPr>
            <w:rStyle w:val="Hyperlink"/>
            <w:rFonts w:cs="Calibri" w:ascii="Calibri" w:hAnsi="Calibri"/>
          </w:rPr>
          <w:t>1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0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329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)(</w:t>
        </w:r>
        <w:r>
          <w:rPr>
            <w:rStyle w:val="Hyperlink"/>
            <w:rFonts w:cs="Calibri" w:ascii="Calibri" w:hAnsi="Calibri"/>
          </w:rPr>
          <w:t>2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332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cs="Calibri" w:ascii="Calibri" w:hAnsi="Calibri"/>
          </w:rPr>
          <w:t>3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2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427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413</w:t>
        </w:r>
        <w:r>
          <w:rPr>
            <w:rStyle w:val="Hyperlink"/>
            <w:rFonts w:ascii="Calibri" w:hAnsi="Calibri" w:cs="Calibri"/>
            <w:rtl w:val="true"/>
          </w:rPr>
          <w:t>ג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498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סגור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-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</w:hyperlink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hyperlink r:id="rId36"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32694-03-11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: 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יעתרו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...".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שתמחיש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שבהתנהגותו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ומצמצמת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מניפולטיביים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ומניתוק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אמפתיה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ולנפגע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כראיות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ליונות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הכשלת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32694-03-11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7.9.11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המינורי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המקסימלי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הפרקליט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במחלוקת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ולחילופין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בבקשתו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האלקטרוני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ובנוסף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האוטונומיה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בצוותא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בדומה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למבצעיה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היה </w:t>
      </w:r>
      <w:r>
        <w:rPr>
          <w:rFonts w:ascii="Calibri" w:hAnsi="Calibri" w:cs="Calibri"/>
          <w:rtl w:val="true"/>
        </w:rPr>
        <w:t>בינה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התממשה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זריקת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5-8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6-10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הבאה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8641/12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5.8.13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61852-10-13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לוגסי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5-8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8591/09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24.6.10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8956/10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תשובה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15.7.12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u w:val="single"/>
          </w:rPr>
          <w:t>4800/11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31.1.13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חיזוריו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ששיאם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שכלל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נוסע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מתקיים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בענייננו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צירוף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במיוחד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הנוסעים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רכב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משולב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התרחשות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תאונת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הירי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המשליכות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)</w:t>
        <w:tab/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וההתארגנות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בעזרתו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הצטיידות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התארגנות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והמארב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)</w:t>
        <w:tab/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במכסה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ובשמשת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)</w:t>
        <w:tab/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וקטלני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ושכניו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ונהגים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סיונות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)</w:t>
        <w:tab/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)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מצומצמות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ומסתכמות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מתבצע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שהתממשה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הרסס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מוגבלת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מצומצמת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מורכבות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אמפתיה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ואלימה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והשתתפות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צומצמה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בהינתן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1658/98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פלוני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נו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577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608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6513/08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10.8.08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יכובדו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סנגוריהם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שנזקו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מסובביו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שנזקיו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ללוותו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הייתי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במצב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כיפור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פחות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צמתי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ארבעה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אכלתי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שתיתי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ושרשמתי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שקלתי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אפילו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אפילו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להתאבד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ש</w:t>
      </w:r>
      <w:r>
        <w:rPr>
          <w:rFonts w:cs="Calibri" w:ascii="Calibri" w:hAnsi="Calibri"/>
          <w:b/>
          <w:bCs/>
          <w:rtl w:val="true"/>
        </w:rPr>
        <w:t xml:space="preserve">.: </w:t>
      </w:r>
      <w:r>
        <w:rPr>
          <w:rFonts w:ascii="Calibri" w:hAnsi="Calibri" w:cs="Calibri"/>
          <w:b/>
          <w:b/>
          <w:bCs/>
          <w:rtl w:val="true"/>
        </w:rPr>
        <w:t>בעקבות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האירועים</w:t>
      </w:r>
      <w:r>
        <w:rPr>
          <w:rFonts w:cs="Calibri" w:ascii="Calibri" w:hAnsi="Calibri"/>
          <w:b/>
          <w:bCs/>
          <w:rtl w:val="true"/>
        </w:rPr>
        <w:t>?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ת</w:t>
      </w:r>
      <w:r>
        <w:rPr>
          <w:rFonts w:cs="Calibri" w:ascii="Calibri" w:hAnsi="Calibri"/>
          <w:b/>
          <w:bCs/>
          <w:rtl w:val="true"/>
        </w:rPr>
        <w:t xml:space="preserve">.: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9-14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צלקת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מאחל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87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364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16.6.15</w:t>
      </w:r>
      <w:r>
        <w:rPr>
          <w:rFonts w:cs="Calibri" w:ascii="Calibri" w:hAnsi="Calibri"/>
          <w:rtl w:val="true"/>
        </w:rPr>
        <w:t xml:space="preserve"> 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להוספת</w:t>
      </w:r>
      <w:r>
        <w:rPr>
          <w:rFonts w:ascii="Calibri" w:hAnsi="Calibri" w:cs="Calibri"/>
          <w:rtl w:val="true"/>
        </w:rPr>
        <w:t xml:space="preserve"> </w:t>
      </w:r>
      <w:hyperlink r:id="rId45">
        <w:r>
          <w:rPr>
            <w:rStyle w:val="Hyperlink"/>
            <w:rFonts w:ascii="Calibri" w:hAnsi="Calibri" w:cs="Calibri"/>
            <w:rtl w:val="true"/>
          </w:rPr>
          <w:t>פרק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cs="Calibri" w:ascii="Calibri" w:hAnsi="Calibri"/>
          </w:rPr>
          <w:t>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5.1.15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לשיטתו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4658/15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9.7.15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בפיסקה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בשינוי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טרמינולוגי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בלבד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בשינוי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תפיסתי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רטרואקטיבי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המתעוררת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והפרקטיקה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להבדיל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1626/91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דקה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מה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76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81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דקה</w:t>
      </w:r>
      <w:r>
        <w:rPr>
          <w:rFonts w:cs="Calibri" w:ascii="Calibri" w:hAnsi="Calibri"/>
          <w:rtl w:val="true"/>
        </w:rPr>
        <w:t>"):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הבחנה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מוחלט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מאחורי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ובריח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נוהגים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חישוב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תקופת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מקובל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התקופה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מאחורי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ובריח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לנכותה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מתקופת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שנגזרה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אך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נוהגים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מוחלט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יחד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הרשות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ובמקרים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הדבר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שבבואו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לקבוע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תקופת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חשבון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העובדה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נתון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הנסיבות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בשקלול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השיקולים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בקביעת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תקופת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." 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הלוגיסטית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מערכתית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התפיסתית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הפרופוזיציה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המוטעית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שהוצעה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הסניגוריה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לפיה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סעיפים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54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48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סדר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הדין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הפלילי</w:t>
        </w:r>
      </w:hyperlink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[</w:t>
      </w:r>
      <w:r>
        <w:rPr>
          <w:rFonts w:ascii="Calibri" w:hAnsi="Calibri" w:cs="Calibri"/>
          <w:b/>
          <w:b/>
          <w:bCs/>
          <w:rtl w:val="true"/>
        </w:rPr>
        <w:t>נוסח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משולב</w:t>
      </w:r>
      <w:r>
        <w:rPr>
          <w:rFonts w:cs="Calibri" w:ascii="Calibri" w:hAnsi="Calibri"/>
          <w:b/>
          <w:bCs/>
          <w:rtl w:val="true"/>
        </w:rPr>
        <w:t>] (</w:t>
      </w:r>
      <w:r>
        <w:rPr>
          <w:rFonts w:ascii="Calibri" w:hAnsi="Calibri" w:cs="Calibri"/>
          <w:b/>
          <w:b/>
          <w:bCs/>
          <w:rtl w:val="true"/>
        </w:rPr>
        <w:t>להלן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b/>
          <w:bCs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נובעת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המקובל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cs="Calibri" w:ascii="Calibri" w:hAnsi="Calibri"/>
          <w:b/>
          <w:bCs/>
          <w:rtl w:val="true"/>
        </w:rPr>
        <w:t xml:space="preserve">", </w:t>
      </w:r>
      <w:r>
        <w:rPr>
          <w:rFonts w:ascii="Calibri" w:hAnsi="Calibri" w:cs="Calibri"/>
          <w:b/>
          <w:b/>
          <w:bCs/>
          <w:rtl w:val="true"/>
        </w:rPr>
        <w:t>שאיננו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מונח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טכני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מעצר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מבחינת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שהסעיפים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54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לגביו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בהחלטת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לשחרר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העצור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ולהתנות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השחרור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התנאים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להימצא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מגוריו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מגורים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" </w:t>
      </w:r>
    </w:p>
    <w:p>
      <w:pPr>
        <w:pStyle w:val="Normal"/>
        <w:spacing w:lineRule="auto" w:line="360" w:before="0" w:after="160"/>
        <w:ind w:firstLine="6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היומיומית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השהייה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לאמיתו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זוהי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כעצור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להבדיל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חלופת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cs="Calibri" w:ascii="Calibri" w:hAnsi="Calibri"/>
          <w:rtl w:val="true"/>
        </w:rPr>
        <w:t xml:space="preserve">" –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האלקטרוני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הערות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והארות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שפירא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cs="Calibri"/>
          <w:b/>
          <w:b/>
          <w:bCs/>
          <w:rtl w:val="true"/>
        </w:rPr>
        <w:t>שאלת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חישוב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תקופת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אלקטרוני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כחלק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מתקופת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נתונה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דעתו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הקבועים</w:t>
      </w:r>
      <w:r>
        <w:rPr>
          <w:rFonts w:ascii="Calibri" w:hAnsi="Calibri" w:cs="Calibri"/>
          <w:rtl w:val="true"/>
        </w:rPr>
        <w:t xml:space="preserve"> </w:t>
      </w:r>
      <w:hyperlink r:id="rId49">
        <w:r>
          <w:rPr>
            <w:rStyle w:val="Hyperlink"/>
            <w:rFonts w:ascii="Calibri" w:hAnsi="Calibri" w:cs="Calibri"/>
            <w:rtl w:val="true"/>
          </w:rPr>
          <w:t>בסע</w:t>
        </w:r>
        <w:r>
          <w:rPr>
            <w:rStyle w:val="Hyperlink"/>
            <w:rFonts w:cs="Calibri" w:ascii="Calibri" w:hAnsi="Calibri"/>
            <w:rtl w:val="true"/>
          </w:rPr>
          <w:t xml:space="preserve">' </w:t>
        </w:r>
        <w:r>
          <w:rPr>
            <w:rStyle w:val="Hyperlink"/>
            <w:rFonts w:cs="Calibri" w:ascii="Calibri" w:hAnsi="Calibri"/>
          </w:rPr>
          <w:t>60-61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להבדיל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קיזוז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המנגנון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2.9.14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 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32694-03-11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7.9.11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hyperlink r:id="rId51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</w:rPr>
        <w:t>.16</w:t>
      </w:r>
      <w:r>
        <w:rPr>
          <w:rFonts w:cs="Calibri" w:ascii="Calibri" w:hAnsi="Calibri"/>
          <w:rtl w:val="true"/>
        </w:rPr>
        <w:tab/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1.6.16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2.9.14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hyperlink r:id="rId53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</w:rPr>
        <w:t>.16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2.9.14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5.1.15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המנויות</w:t>
      </w:r>
      <w:r>
        <w:rPr>
          <w:rFonts w:ascii="Calibri" w:hAnsi="Calibri" w:cs="Calibri"/>
          <w:rtl w:val="true"/>
        </w:rPr>
        <w:t xml:space="preserve"> </w:t>
      </w:r>
      <w:hyperlink r:id="rId55">
        <w:r>
          <w:rPr>
            <w:rStyle w:val="Hyperlink"/>
            <w:rFonts w:ascii="Calibri" w:hAnsi="Calibri" w:cs="Calibri"/>
            <w:rtl w:val="true"/>
          </w:rPr>
          <w:t>בפרק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י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ד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 עבירת אלימות מסוג פשע או עבירת נשק 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</w:rPr>
        <w:t>.16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start="5040" w:end="0"/>
        <w:jc w:val="center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20/07/2015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-2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rFonts w:cs="Times New Roman"/>
                <w:b/>
                <w:b/>
                <w:bCs/>
                <w:rtl w:val="true"/>
              </w:rPr>
              <w:t>קרא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rFonts w:cs="Times New Roman"/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Cs/>
                <w:rtl w:val="true"/>
              </w:rPr>
              <w:t xml:space="preserve">, </w:t>
            </w:r>
            <w:r>
              <w:rPr>
                <w:rFonts w:cs="Times New Roman"/>
                <w:b/>
                <w:b/>
                <w:bCs/>
                <w:rtl w:val="true"/>
              </w:rPr>
              <w:t>סגן נשיאה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 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b/>
          <w:bCs/>
          <w:color w:val="FFFFFF"/>
          <w:sz w:val="28"/>
          <w:szCs w:val="28"/>
        </w:rPr>
      </w:pPr>
      <w:r>
        <w:rPr>
          <w:b/>
          <w:bCs/>
          <w:color w:val="FFFFFF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ה 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ורג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58"/>
      <w:footerReference w:type="default" r:id="rId5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45191-09-14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עבדאללה אגברייה  בליווי שב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2">
    <w:name w:val="שמות"/>
    <w:basedOn w:val="Normal"/>
    <w:qFormat/>
    <w:pPr>
      <w:suppressLineNumbers/>
      <w:spacing w:lineRule="auto" w:line="360"/>
      <w:jc w:val="both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329.a.2" TargetMode="External"/><Relationship Id="rId6" Type="http://schemas.openxmlformats.org/officeDocument/2006/relationships/hyperlink" Target="http://www.nevo.co.il/law/70301/332.3" TargetMode="External"/><Relationship Id="rId7" Type="http://schemas.openxmlformats.org/officeDocument/2006/relationships/hyperlink" Target="http://www.nevo.co.il/law/70301/413c" TargetMode="External"/><Relationship Id="rId8" Type="http://schemas.openxmlformats.org/officeDocument/2006/relationships/hyperlink" Target="http://www.nevo.co.il/law/70301/427.a" TargetMode="External"/><Relationship Id="rId9" Type="http://schemas.openxmlformats.org/officeDocument/2006/relationships/hyperlink" Target="http://www.nevo.co.il/law/70301/454" TargetMode="External"/><Relationship Id="rId10" Type="http://schemas.openxmlformats.org/officeDocument/2006/relationships/hyperlink" Target="http://www.nevo.co.il/law/70301/498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jdC" TargetMode="External"/><Relationship Id="rId13" Type="http://schemas.openxmlformats.org/officeDocument/2006/relationships/hyperlink" Target="http://www.nevo.co.il/law/98568" TargetMode="External"/><Relationship Id="rId14" Type="http://schemas.openxmlformats.org/officeDocument/2006/relationships/hyperlink" Target="http://www.nevo.co.il/law/98568/60" TargetMode="External"/><Relationship Id="rId15" Type="http://schemas.openxmlformats.org/officeDocument/2006/relationships/hyperlink" Target="http://www.nevo.co.il/law/98568/61" TargetMode="External"/><Relationship Id="rId16" Type="http://schemas.openxmlformats.org/officeDocument/2006/relationships/hyperlink" Target="http://www.nevo.co.il/law/98568/c1C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29.a.2" TargetMode="External"/><Relationship Id="rId21" Type="http://schemas.openxmlformats.org/officeDocument/2006/relationships/hyperlink" Target="http://www.nevo.co.il/law/70301/332.3" TargetMode="External"/><Relationship Id="rId22" Type="http://schemas.openxmlformats.org/officeDocument/2006/relationships/hyperlink" Target="http://www.nevo.co.il/law/70301/427.a" TargetMode="External"/><Relationship Id="rId23" Type="http://schemas.openxmlformats.org/officeDocument/2006/relationships/hyperlink" Target="http://www.nevo.co.il/law/70301/413c" TargetMode="External"/><Relationship Id="rId24" Type="http://schemas.openxmlformats.org/officeDocument/2006/relationships/hyperlink" Target="http://www.nevo.co.il/law/70301/454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427.a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29.a.2" TargetMode="External"/><Relationship Id="rId31" Type="http://schemas.openxmlformats.org/officeDocument/2006/relationships/hyperlink" Target="http://www.nevo.co.il/law/70301/332.3" TargetMode="External"/><Relationship Id="rId32" Type="http://schemas.openxmlformats.org/officeDocument/2006/relationships/hyperlink" Target="http://www.nevo.co.il/law/70301/427.a" TargetMode="External"/><Relationship Id="rId33" Type="http://schemas.openxmlformats.org/officeDocument/2006/relationships/hyperlink" Target="http://www.nevo.co.il/law/70301/413c" TargetMode="External"/><Relationship Id="rId34" Type="http://schemas.openxmlformats.org/officeDocument/2006/relationships/hyperlink" Target="http://www.nevo.co.il/law/70301/498" TargetMode="External"/><Relationship Id="rId35" Type="http://schemas.openxmlformats.org/officeDocument/2006/relationships/hyperlink" Target="http://www.nevo.co.il/case/2870485" TargetMode="External"/><Relationship Id="rId36" Type="http://schemas.openxmlformats.org/officeDocument/2006/relationships/hyperlink" Target="http://www.nevo.co.il/case/2870485" TargetMode="External"/><Relationship Id="rId37" Type="http://schemas.openxmlformats.org/officeDocument/2006/relationships/hyperlink" Target="http://www.nevo.co.il/case/2870485" TargetMode="External"/><Relationship Id="rId38" Type="http://schemas.openxmlformats.org/officeDocument/2006/relationships/hyperlink" Target="http://www.nevo.co.il/case/5573417" TargetMode="External"/><Relationship Id="rId39" Type="http://schemas.openxmlformats.org/officeDocument/2006/relationships/hyperlink" Target="http://www.nevo.co.il/case/8476828" TargetMode="External"/><Relationship Id="rId40" Type="http://schemas.openxmlformats.org/officeDocument/2006/relationships/hyperlink" Target="http://www.nevo.co.il/case/6133127" TargetMode="External"/><Relationship Id="rId41" Type="http://schemas.openxmlformats.org/officeDocument/2006/relationships/hyperlink" Target="http://www.nevo.co.il/case/6141758" TargetMode="External"/><Relationship Id="rId42" Type="http://schemas.openxmlformats.org/officeDocument/2006/relationships/hyperlink" Target="http://www.nevo.co.il/case/5977441" TargetMode="External"/><Relationship Id="rId43" Type="http://schemas.openxmlformats.org/officeDocument/2006/relationships/hyperlink" Target="http://www.nevo.co.il/case/5975203" TargetMode="External"/><Relationship Id="rId44" Type="http://schemas.openxmlformats.org/officeDocument/2006/relationships/hyperlink" Target="http://www.nevo.co.il/case/6247164" TargetMode="External"/><Relationship Id="rId45" Type="http://schemas.openxmlformats.org/officeDocument/2006/relationships/hyperlink" Target="http://www.nevo.co.il/law/98568/c1C" TargetMode="External"/><Relationship Id="rId46" Type="http://schemas.openxmlformats.org/officeDocument/2006/relationships/hyperlink" Target="http://www.nevo.co.il/case/20416145" TargetMode="External"/><Relationship Id="rId47" Type="http://schemas.openxmlformats.org/officeDocument/2006/relationships/hyperlink" Target="http://www.nevo.co.il/case/17912640" TargetMode="External"/><Relationship Id="rId48" Type="http://schemas.openxmlformats.org/officeDocument/2006/relationships/hyperlink" Target="http://www.nevo.co.il/law/74903" TargetMode="External"/><Relationship Id="rId49" Type="http://schemas.openxmlformats.org/officeDocument/2006/relationships/hyperlink" Target="http://www.nevo.co.il/law/98568/60;61" TargetMode="External"/><Relationship Id="rId50" Type="http://schemas.openxmlformats.org/officeDocument/2006/relationships/hyperlink" Target="http://www.nevo.co.il/case/2870485" TargetMode="External"/><Relationship Id="rId51" Type="http://schemas.openxmlformats.org/officeDocument/2006/relationships/hyperlink" Target="http://www.nevo.co.il/law/70301/144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144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jdC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2017-09-28T10:41:00Z</dcterms:created>
  <dc:creator> </dc:creator>
  <dc:description/>
  <cp:keywords/>
  <dc:language>en-IL</dc:language>
  <cp:lastModifiedBy>run</cp:lastModifiedBy>
  <dcterms:modified xsi:type="dcterms:W3CDTF">2017-09-28T10:41:00Z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עבדאללה אגברייה ;עלי יונס ;עומרי עודה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2870485:3;5573417;8476828;6133127;6141758;5977441;5975203;6247164;20416145;17912640</vt:lpwstr>
  </property>
  <property fmtid="{D5CDD505-2E9C-101B-9397-08002B2CF9AE}" pid="9" name="CITY">
    <vt:lpwstr>ת"א</vt:lpwstr>
  </property>
  <property fmtid="{D5CDD505-2E9C-101B-9397-08002B2CF9AE}" pid="10" name="DATE">
    <vt:lpwstr>20150720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ג'ורג' קרא</vt:lpwstr>
  </property>
  <property fmtid="{D5CDD505-2E9C-101B-9397-08002B2CF9AE}" pid="14" name="LAWLISTTMP1">
    <vt:lpwstr>70301/499.a.1:2;329.a.2:2;332.3:2;427.a:3;413c:2;454;029:2;498;144:2;jdC</vt:lpwstr>
  </property>
  <property fmtid="{D5CDD505-2E9C-101B-9397-08002B2CF9AE}" pid="15" name="LAWLISTTMP2">
    <vt:lpwstr>98568/c1C;060;061</vt:lpwstr>
  </property>
  <property fmtid="{D5CDD505-2E9C-101B-9397-08002B2CF9AE}" pid="16" name="LAWLISTTMP3">
    <vt:lpwstr>74903</vt:lpwstr>
  </property>
  <property fmtid="{D5CDD505-2E9C-101B-9397-08002B2CF9AE}" pid="17" name="LAWYER">
    <vt:lpwstr>דיה בן אסא;גיא רוסו;מנשה סלטון;קובי טולדו;רצון דרחי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45191</vt:lpwstr>
  </property>
  <property fmtid="{D5CDD505-2E9C-101B-9397-08002B2CF9AE}" pid="24" name="NEWPARTB">
    <vt:lpwstr>09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390020150720</vt:lpwstr>
  </property>
  <property fmtid="{D5CDD505-2E9C-101B-9397-08002B2CF9AE}" pid="36" name="TYPE_N_DATE">
    <vt:lpwstr>39020150720</vt:lpwstr>
  </property>
  <property fmtid="{D5CDD505-2E9C-101B-9397-08002B2CF9AE}" pid="37" name="VOLUME">
    <vt:lpwstr/>
  </property>
  <property fmtid="{D5CDD505-2E9C-101B-9397-08002B2CF9AE}" pid="38" name="WORDNUMPAGES">
    <vt:lpwstr>12</vt:lpwstr>
  </property>
</Properties>
</file>