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4543-09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ירושלים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ברקאת ברדאת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  <w:tr>
        <w:trPr>
          <w:trHeight w:val="337" w:hRule="atLeas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יצחק שמעוני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בכיר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נזמי ברקאת ברדאת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bookmarkStart w:id="3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3"/>
      <w:r>
        <w:rPr>
          <w:u w:val="none"/>
          <w:rtl w:val="true"/>
        </w:rPr>
        <w:t xml:space="preserve"> המאשימה מתמחה אסף גרנית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הנאשם וב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רבאח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LastJudge"/>
      <w:bookmarkStart w:id="5" w:name="PsakDin"/>
      <w:bookmarkEnd w:id="4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Normal"/>
        <w:spacing w:lineRule="auto" w:line="360"/>
        <w:ind w:end="0"/>
        <w:jc w:val="both"/>
        <w:rPr/>
      </w:pPr>
      <w:bookmarkStart w:id="8" w:name="ABSTRACT_START"/>
      <w:bookmarkEnd w:id="8"/>
      <w:r>
        <w:rPr>
          <w:rtl w:val="true"/>
        </w:rPr>
        <w:t>הנאשם הורשע על פי הודאתו בעבירות של החזקת נשק והחזקת תחמושת</w:t>
      </w:r>
      <w:r>
        <w:rPr>
          <w:rtl w:val="true"/>
        </w:rPr>
        <w:t xml:space="preserve">, </w:t>
      </w:r>
      <w:r>
        <w:rPr>
          <w:rtl w:val="true"/>
        </w:rPr>
        <w:t xml:space="preserve">עבירות לפי סעיפים </w:t>
      </w:r>
      <w:r>
        <w:rPr/>
        <w:t>144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רישא ו</w:t>
      </w:r>
      <w:r>
        <w:rPr>
          <w:rtl w:val="true"/>
        </w:rPr>
        <w:t>-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 xml:space="preserve">סיפא </w:t>
      </w:r>
      <w:r>
        <w:rPr>
          <w:rtl w:val="true"/>
        </w:rPr>
        <w:t xml:space="preserve">+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הודאתו של הנאשם נמסרה במסגרת הסדר טיעון בו תוקן כתב האישום המקורי ואולם הצדדים לא הגיעו לידי הסדר באשר לעונש וסוכם כי כל צד יטען טיעוניו באופן חופשי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bookmarkStart w:id="9" w:name="ABSTRACT_END"/>
      <w:bookmarkEnd w:id="9"/>
      <w:r>
        <w:rPr>
          <w:rtl w:val="true"/>
        </w:rPr>
        <w:t xml:space="preserve">כתב האישום המתוקן מייחס לנאשם עבירה של החזקת נשק בביתו בכפר עקב מסוג רובה קרבין וכן מחסנית ריקה של </w:t>
      </w:r>
      <w:r>
        <w:rPr/>
        <w:t>M16</w:t>
      </w:r>
      <w:r>
        <w:rPr>
          <w:rtl w:val="true"/>
        </w:rPr>
        <w:t xml:space="preserve"> </w:t>
      </w:r>
      <w:r>
        <w:rPr>
          <w:rtl w:val="true"/>
        </w:rPr>
        <w:t xml:space="preserve">ושני קליעים של מקלע </w:t>
      </w:r>
      <w:r>
        <w:rPr/>
        <w:t>0.5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 נתפס בביתו בעקבות חיפוש שנערך על ידי המשטרה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מבקש לגזור על הנאשם עונש מאסר משמעותי ובתמיכה לטיעוניו הביא פסיקה של בית המשפט העליון ופסיקה נוספת אשר מחמירה עם מחזיקי נשק שלא כדין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מנגד טען הסנגור כי על פי הפסיקה העניפה שהגיש לעיונו של בית המשפט מערכאות שונות</w:t>
      </w:r>
      <w:r>
        <w:rPr>
          <w:rtl w:val="true"/>
        </w:rPr>
        <w:t xml:space="preserve">, </w:t>
      </w:r>
      <w:r>
        <w:rPr>
          <w:rtl w:val="true"/>
        </w:rPr>
        <w:t>הענישה במקרים דומים נעה בין אי הרשעה וביצוע של</w:t>
      </w:r>
      <w:r>
        <w:rPr>
          <w:rtl w:val="true"/>
        </w:rPr>
        <w:t>"</w:t>
      </w:r>
      <w:r>
        <w:rPr>
          <w:rtl w:val="true"/>
        </w:rPr>
        <w:t>צ ועונש מאסר שירוצה בעבודות 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 זה מבקש הסנגור לגזור על הנאשם עונש של מאסר על תנאי ואולם בשל מעצרו בתיק אחר</w:t>
      </w:r>
      <w:r>
        <w:rPr>
          <w:rtl w:val="true"/>
        </w:rPr>
        <w:t xml:space="preserve">, </w:t>
      </w:r>
      <w:r>
        <w:rPr>
          <w:rtl w:val="true"/>
        </w:rPr>
        <w:t>מבקש הוא להסתפק במאסר למשך חודשיים בלבד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העבירה של החזקת נשק שלא כדין הינה עבירה חמורה</w:t>
      </w:r>
      <w:r>
        <w:rPr>
          <w:rtl w:val="true"/>
        </w:rPr>
        <w:t xml:space="preserve">, </w:t>
      </w:r>
      <w:r>
        <w:rPr>
          <w:rtl w:val="true"/>
        </w:rPr>
        <w:t>זאת בשל הסיכון הפוטנציאלי הגלום בה</w:t>
      </w:r>
      <w:r>
        <w:rPr>
          <w:rtl w:val="true"/>
        </w:rPr>
        <w:t xml:space="preserve">. </w:t>
      </w:r>
      <w:r>
        <w:rPr>
          <w:rtl w:val="true"/>
        </w:rPr>
        <w:t>מחזיק נשק שלא כדין</w:t>
      </w:r>
      <w:r>
        <w:rPr>
          <w:rtl w:val="true"/>
        </w:rPr>
        <w:t xml:space="preserve">, </w:t>
      </w:r>
      <w:r>
        <w:rPr>
          <w:rtl w:val="true"/>
        </w:rPr>
        <w:t>מסכן את הסובבים אותו ואת החברה כולה</w:t>
      </w:r>
      <w:r>
        <w:rPr>
          <w:rtl w:val="true"/>
        </w:rPr>
        <w:t xml:space="preserve">, </w:t>
      </w:r>
      <w:r>
        <w:rPr>
          <w:rtl w:val="true"/>
        </w:rPr>
        <w:t>זאת כפי שנפסק ב</w:t>
      </w:r>
      <w:hyperlink r:id="rId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2718/04</w:t>
        </w:r>
      </w:hyperlink>
      <w:r>
        <w:rPr>
          <w:rtl w:val="true"/>
        </w:rPr>
        <w:t xml:space="preserve"> </w:t>
      </w:r>
      <w:r>
        <w:rPr>
          <w:rtl w:val="true"/>
        </w:rPr>
        <w:t>של בית המשפט העליון ופסיקה נוספת שהוגשה על ידי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הנשק שנתפס בביתו של הנאשם הינו נשק שניתן לעשות בו שימוש ואינני מקבל את טענת הסנגור לפיה מוחזק הוא כמזכרת לאחר פטירת דודו של 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בית המשפט ער לפסיקה המקלה אותה ציטט הסנגור מהערכאות השונות בהן נפסק עונש של אי הרשעה וביצוע של</w:t>
      </w:r>
      <w:r>
        <w:rPr>
          <w:rtl w:val="true"/>
        </w:rPr>
        <w:t>"</w:t>
      </w:r>
      <w:r>
        <w:rPr>
          <w:rtl w:val="true"/>
        </w:rPr>
        <w:t>צ ועד למאסר בעבודות 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נוכח כל האמור לעיל ובשים לב לרישום הפלילי של הנאשם מחד ולחומרת העבירה מאידך</w:t>
      </w:r>
      <w:r>
        <w:rPr>
          <w:rtl w:val="true"/>
        </w:rPr>
        <w:t xml:space="preserve">, </w:t>
      </w:r>
      <w:r>
        <w:rPr>
          <w:rtl w:val="true"/>
        </w:rPr>
        <w:t>וכן לעובדה כי הנאשם הודה וחסך מזמנו של בית המשפט</w:t>
      </w:r>
      <w:r>
        <w:rPr>
          <w:rtl w:val="true"/>
        </w:rPr>
        <w:t xml:space="preserve">, </w:t>
      </w:r>
      <w:r>
        <w:rPr>
          <w:rtl w:val="true"/>
        </w:rPr>
        <w:t>אני גוזר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 xml:space="preserve">מאסר בפועל למשך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 אותו ירצה החל מהיום</w:t>
      </w:r>
      <w:r>
        <w:rPr>
          <w:rtl w:val="true"/>
        </w:rPr>
        <w:t xml:space="preserve">, </w:t>
      </w:r>
      <w:r>
        <w:rPr>
          <w:rtl w:val="true"/>
        </w:rPr>
        <w:t>ללא קשר למעצרו בתיק האחר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מאסר על תנאי למשך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והנאשם לא ירצה עונש זה אלא אם יעבור תוך שנתיים מיום שחרורו על אחת מהעבירות בהן הורשע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מורה על חילוט 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מורה על החזרת הפיקדון לנאשם באמצעות בא</w:t>
      </w:r>
      <w:r>
        <w:rPr>
          <w:rtl w:val="true"/>
        </w:rPr>
        <w:t>-</w:t>
      </w:r>
      <w:r>
        <w:rPr>
          <w:rtl w:val="true"/>
        </w:rPr>
        <w:t>כוחו עו</w:t>
      </w:r>
      <w:r>
        <w:rPr>
          <w:rtl w:val="true"/>
        </w:rPr>
        <w:t>"</w:t>
      </w:r>
      <w:r>
        <w:rPr>
          <w:rtl w:val="true"/>
        </w:rPr>
        <w:t>ד רבאח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הודע על זכות ערעור לבית המשפט המחוזי בירושלים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יצחק שמעוני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ניתנה והודעה היום י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ט סיון תשע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21/06/2011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 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יצחק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שמעוני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 בכיר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ליאת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FrankRuehl"/>
          <w:sz w:val="28"/>
          <w:sz w:val="28"/>
          <w:szCs w:val="28"/>
          <w:rtl w:val="true"/>
        </w:rPr>
        <w:t>מזון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4543-09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נזמי ברקאת ברדאת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12;&#1506;&#1508;%202718/04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2011-06-22T10:59:00Z</dcterms:created>
  <dc:creator> </dc:creator>
  <dc:description/>
  <cp:keywords/>
  <dc:language>en-IL</dc:language>
  <cp:lastModifiedBy>hofit</cp:lastModifiedBy>
  <dcterms:modified xsi:type="dcterms:W3CDTF">2011-06-22T10:59:00Z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נזמי ברקאת ברדאת</vt:lpwstr>
  </property>
  <property fmtid="{D5CDD505-2E9C-101B-9397-08002B2CF9AE}" pid="4" name="CITY">
    <vt:lpwstr>י-ם</vt:lpwstr>
  </property>
  <property fmtid="{D5CDD505-2E9C-101B-9397-08002B2CF9AE}" pid="5" name="DATE">
    <vt:lpwstr>20110621</vt:lpwstr>
  </property>
  <property fmtid="{D5CDD505-2E9C-101B-9397-08002B2CF9AE}" pid="6" name="ISABSTRACT">
    <vt:lpwstr>Y</vt:lpwstr>
  </property>
  <property fmtid="{D5CDD505-2E9C-101B-9397-08002B2CF9AE}" pid="7" name="JUDGE">
    <vt:lpwstr>יצחק שמעוני;בכיר</vt:lpwstr>
  </property>
  <property fmtid="{D5CDD505-2E9C-101B-9397-08002B2CF9AE}" pid="8" name="LAWYER">
    <vt:lpwstr>מתמחה אסף גרנית;ו רבאח</vt:lpwstr>
  </property>
  <property fmtid="{D5CDD505-2E9C-101B-9397-08002B2CF9AE}" pid="9" name="NEWPARTA">
    <vt:lpwstr>4543</vt:lpwstr>
  </property>
  <property fmtid="{D5CDD505-2E9C-101B-9397-08002B2CF9AE}" pid="10" name="NEWPARTB">
    <vt:lpwstr/>
  </property>
  <property fmtid="{D5CDD505-2E9C-101B-9397-08002B2CF9AE}" pid="11" name="NEWPARTC">
    <vt:lpwstr>09</vt:lpwstr>
  </property>
  <property fmtid="{D5CDD505-2E9C-101B-9397-08002B2CF9AE}" pid="12" name="NEWPROC">
    <vt:lpwstr>תפ</vt:lpwstr>
  </property>
  <property fmtid="{D5CDD505-2E9C-101B-9397-08002B2CF9AE}" pid="13" name="PROCNUM">
    <vt:lpwstr>4543</vt:lpwstr>
  </property>
  <property fmtid="{D5CDD505-2E9C-101B-9397-08002B2CF9AE}" pid="14" name="PROCYEAR">
    <vt:lpwstr>09</vt:lpwstr>
  </property>
  <property fmtid="{D5CDD505-2E9C-101B-9397-08002B2CF9AE}" pid="15" name="PSAKDIN">
    <vt:lpwstr>גזר-דין</vt:lpwstr>
  </property>
  <property fmtid="{D5CDD505-2E9C-101B-9397-08002B2CF9AE}" pid="16" name="TYPE">
    <vt:lpwstr>3</vt:lpwstr>
  </property>
  <property fmtid="{D5CDD505-2E9C-101B-9397-08002B2CF9AE}" pid="17" name="TYPE_ABS_DATE">
    <vt:lpwstr>380020110621</vt:lpwstr>
  </property>
  <property fmtid="{D5CDD505-2E9C-101B-9397-08002B2CF9AE}" pid="18" name="TYPE_N_DATE">
    <vt:lpwstr>38020110621</vt:lpwstr>
  </property>
  <property fmtid="{D5CDD505-2E9C-101B-9397-08002B2CF9AE}" pid="19" name="WORDNUMPAGES">
    <vt:lpwstr>2</vt:lpwstr>
  </property>
</Properties>
</file>