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45550-02-13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איוב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 xml:space="preserve">פאוזי איוב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סופי טקצ</w:t>
      </w:r>
      <w:r>
        <w:rPr>
          <w:u w:val="none"/>
          <w:rtl w:val="true"/>
        </w:rPr>
        <w:t>'</w:t>
      </w:r>
      <w:r>
        <w:rPr>
          <w:u w:val="none"/>
          <w:rtl w:val="true"/>
        </w:rPr>
        <w:t xml:space="preserve">מן </w:t>
      </w:r>
      <w:r>
        <w:rPr>
          <w:u w:val="none"/>
          <w:rtl w:val="true"/>
        </w:rPr>
        <w:t xml:space="preserve">- </w:t>
      </w:r>
      <w:r>
        <w:rPr>
          <w:u w:val="none"/>
          <w:rtl w:val="true"/>
        </w:rPr>
        <w:t>גרניט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מטעם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הובא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חאלד אבו אחמד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</w:rPr>
      </w:pPr>
      <w:bookmarkStart w:id="3" w:name="LawTable"/>
      <w:bookmarkEnd w:id="3"/>
      <w:r>
        <w:rPr>
          <w:rFonts w:ascii="FrankRuehl" w:hAnsi="FrankRuehl" w:cs="FrankRuehl"/>
          <w:color w:val="FF0000"/>
          <w:rtl w:val="true"/>
        </w:rPr>
        <w:t>חקיקה שאוזכרה</w:t>
      </w:r>
      <w:r>
        <w:rPr>
          <w:rFonts w:cs="FrankRuehl" w:ascii="FrankRuehl" w:hAnsi="FrankRuehl"/>
          <w:color w:val="FF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cs="Arial" w:ascii="Arial" w:hAnsi="Arial"/>
          <w:b/>
          <w:color w:val="FF0000"/>
          <w:sz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bookmarkStart w:id="4" w:name="LawTable"/>
      <w:bookmarkEnd w:id="4"/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6" w:name="PsakDin"/>
      <w:bookmarkEnd w:id="6"/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bookmarkStart w:id="7" w:name="ABSTRACT_START"/>
      <w:bookmarkEnd w:id="7"/>
      <w:r>
        <w:rPr>
          <w:rtl w:val="true"/>
        </w:rPr>
        <w:t>הנאשם לפניי 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הודאתו בעובדות כתב</w:t>
      </w:r>
      <w:r>
        <w:rPr>
          <w:rtl w:val="true"/>
        </w:rPr>
        <w:t>-</w:t>
      </w:r>
      <w:r>
        <w:rPr>
          <w:rtl w:val="true"/>
        </w:rPr>
        <w:t xml:space="preserve">אישום מתוקן מיום </w:t>
      </w:r>
      <w:r>
        <w:rPr/>
        <w:t>19.11.13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כתב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האישום</w:t>
      </w:r>
      <w:r>
        <w:rPr>
          <w:rtl w:val="true"/>
        </w:rPr>
        <w:t xml:space="preserve">"), </w:t>
      </w:r>
      <w:r>
        <w:rPr>
          <w:rtl w:val="true"/>
        </w:rPr>
        <w:t xml:space="preserve">בעבירות של </w:t>
      </w:r>
      <w:r>
        <w:rPr>
          <w:u w:val="single"/>
          <w:rtl w:val="true"/>
        </w:rPr>
        <w:t>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"); </w:t>
      </w:r>
      <w:r>
        <w:rPr>
          <w:u w:val="single"/>
          <w:rtl w:val="true"/>
        </w:rPr>
        <w:t>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u w:val="single"/>
          <w:rtl w:val="true"/>
        </w:rPr>
        <w:t>ירי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; </w:t>
      </w:r>
      <w:r>
        <w:rPr>
          <w:u w:val="single"/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u w:val="single"/>
          <w:rtl w:val="true"/>
        </w:rPr>
        <w:t>ניסיון פציעה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 xml:space="preserve">פי המפורט בכתב 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ויסאם אבו</w:t>
      </w:r>
      <w:r>
        <w:rPr>
          <w:rtl w:val="true"/>
        </w:rPr>
        <w:t>-</w:t>
      </w:r>
      <w:r>
        <w:rPr>
          <w:rtl w:val="true"/>
        </w:rPr>
        <w:t xml:space="preserve">לאשין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מתגורר יחד עם הוריו ואחיו בשכונת אל</w:t>
      </w:r>
      <w:r>
        <w:rPr>
          <w:rtl w:val="true"/>
        </w:rPr>
        <w:t>-</w:t>
      </w:r>
      <w:r>
        <w:rPr>
          <w:rtl w:val="true"/>
        </w:rPr>
        <w:t>ראם בנצרת</w:t>
      </w:r>
      <w:r>
        <w:rPr>
          <w:rtl w:val="true"/>
        </w:rPr>
        <w:t xml:space="preserve">, </w:t>
      </w:r>
      <w:r>
        <w:rPr>
          <w:rtl w:val="true"/>
        </w:rPr>
        <w:t>בסמוך לבניין בו מתגורר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ביום </w:t>
      </w:r>
      <w:r>
        <w:rPr/>
        <w:t>08.02.13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21:30</w:t>
      </w:r>
      <w:r>
        <w:rPr>
          <w:rtl w:val="true"/>
        </w:rPr>
        <w:t xml:space="preserve">, </w:t>
      </w:r>
      <w:r>
        <w:rPr>
          <w:rtl w:val="true"/>
        </w:rPr>
        <w:t xml:space="preserve">ניגש המתלונן אל חנות המכולת בשכונה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המכולת</w:t>
      </w:r>
      <w:r>
        <w:rPr>
          <w:rtl w:val="true"/>
        </w:rPr>
        <w:t xml:space="preserve">"). </w:t>
      </w:r>
      <w:r>
        <w:rPr>
          <w:rtl w:val="true"/>
        </w:rPr>
        <w:t>באותו הזמן</w:t>
      </w:r>
      <w:r>
        <w:rPr>
          <w:rtl w:val="true"/>
        </w:rPr>
        <w:t xml:space="preserve">, </w:t>
      </w:r>
      <w:r>
        <w:rPr>
          <w:rtl w:val="true"/>
        </w:rPr>
        <w:t xml:space="preserve">סמוך למדרגות המובילות מביתו של המתלונן למכולת ישבו הנאשם ואדם נוסף ששמו טארק חמאד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טארק</w:t>
      </w:r>
      <w:r>
        <w:rPr>
          <w:rtl w:val="true"/>
        </w:rPr>
        <w:t xml:space="preserve">"). </w:t>
      </w:r>
      <w:r>
        <w:rPr>
          <w:rtl w:val="true"/>
        </w:rPr>
        <w:t>משחלף המתלונן על</w:t>
      </w:r>
      <w:r>
        <w:rPr>
          <w:rtl w:val="true"/>
        </w:rPr>
        <w:t>-</w:t>
      </w:r>
      <w:r>
        <w:rPr>
          <w:rtl w:val="true"/>
        </w:rPr>
        <w:t>פני הנאשם</w:t>
      </w:r>
      <w:r>
        <w:rPr>
          <w:rtl w:val="true"/>
        </w:rPr>
        <w:t xml:space="preserve">, </w:t>
      </w:r>
      <w:r>
        <w:rPr>
          <w:rtl w:val="true"/>
        </w:rPr>
        <w:t>ירק הנאשם לעברו וקילל אותו</w:t>
      </w:r>
      <w:r>
        <w:rPr>
          <w:rtl w:val="true"/>
        </w:rPr>
        <w:t xml:space="preserve">, </w:t>
      </w:r>
      <w:r>
        <w:rPr>
          <w:rtl w:val="true"/>
        </w:rPr>
        <w:t>אולם המתלונן התעלם והמשיך בדרכו</w:t>
      </w:r>
      <w:r>
        <w:rPr>
          <w:rtl w:val="true"/>
        </w:rPr>
        <w:t xml:space="preserve">. </w:t>
      </w:r>
      <w:r>
        <w:rPr>
          <w:rtl w:val="true"/>
        </w:rPr>
        <w:t>כשחזר המתלונן</w:t>
      </w:r>
      <w:r>
        <w:rPr>
          <w:rtl w:val="true"/>
        </w:rPr>
        <w:t xml:space="preserve">, </w:t>
      </w:r>
      <w:r>
        <w:rPr>
          <w:rtl w:val="true"/>
        </w:rPr>
        <w:t>כעבור זמן מה</w:t>
      </w:r>
      <w:r>
        <w:rPr>
          <w:rtl w:val="true"/>
        </w:rPr>
        <w:t xml:space="preserve">, </w:t>
      </w:r>
      <w:r>
        <w:rPr>
          <w:rtl w:val="true"/>
        </w:rPr>
        <w:t>שב הנאשם וירק לעברו תוך שהוא מקלל אותו</w:t>
      </w:r>
      <w:r>
        <w:rPr>
          <w:rtl w:val="true"/>
        </w:rPr>
        <w:t xml:space="preserve">. </w:t>
      </w:r>
      <w:r>
        <w:rPr>
          <w:rtl w:val="true"/>
        </w:rPr>
        <w:t>המתלונן עלה אל ביתו</w:t>
      </w:r>
      <w:r>
        <w:rPr>
          <w:rtl w:val="true"/>
        </w:rPr>
        <w:t xml:space="preserve">, </w:t>
      </w:r>
      <w:r>
        <w:rPr>
          <w:rtl w:val="true"/>
        </w:rPr>
        <w:t>סיפר על שאירע לאביו</w:t>
      </w:r>
      <w:r>
        <w:rPr>
          <w:rtl w:val="true"/>
        </w:rPr>
        <w:t xml:space="preserve">, </w:t>
      </w:r>
      <w:r>
        <w:rPr>
          <w:rtl w:val="true"/>
        </w:rPr>
        <w:t>איברהים אבו</w:t>
      </w:r>
      <w:r>
        <w:rPr>
          <w:rtl w:val="true"/>
        </w:rPr>
        <w:t>-</w:t>
      </w:r>
      <w:r>
        <w:rPr>
          <w:rtl w:val="true"/>
        </w:rPr>
        <w:t xml:space="preserve">לאשין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איברהים</w:t>
      </w:r>
      <w:r>
        <w:rPr>
          <w:rtl w:val="true"/>
        </w:rPr>
        <w:t xml:space="preserve">"), </w:t>
      </w:r>
      <w:r>
        <w:rPr>
          <w:rtl w:val="true"/>
        </w:rPr>
        <w:t>והשניים ירדו חזרה אל המקום בו ישבו הנאשם וטארק</w:t>
      </w:r>
      <w:r>
        <w:rPr>
          <w:rtl w:val="true"/>
        </w:rPr>
        <w:t xml:space="preserve">. </w:t>
      </w:r>
      <w:r>
        <w:rPr>
          <w:rtl w:val="true"/>
        </w:rPr>
        <w:t>איברהים פנה לנאשם ושאל אותו מדוע הוא מדבר כך אל בנו</w:t>
      </w:r>
      <w:r>
        <w:rPr>
          <w:rtl w:val="true"/>
        </w:rPr>
        <w:t xml:space="preserve">, </w:t>
      </w:r>
      <w:r>
        <w:rPr>
          <w:rtl w:val="true"/>
        </w:rPr>
        <w:t>ובתגובה החל הנאשם להשתולל וניסה לפצוע את המתלונן</w:t>
      </w:r>
      <w:r>
        <w:rPr>
          <w:rtl w:val="true"/>
        </w:rPr>
        <w:t xml:space="preserve">. </w:t>
      </w:r>
      <w:r>
        <w:rPr>
          <w:rtl w:val="true"/>
        </w:rPr>
        <w:t>המתלונן התגונן מפני הנאשם ובעט בו</w:t>
      </w:r>
      <w:r>
        <w:rPr>
          <w:rtl w:val="true"/>
        </w:rPr>
        <w:t xml:space="preserve">, </w:t>
      </w:r>
      <w:r>
        <w:rPr>
          <w:rtl w:val="true"/>
        </w:rPr>
        <w:t>והנאשם נפל</w:t>
      </w:r>
      <w:r>
        <w:rPr>
          <w:rtl w:val="true"/>
        </w:rPr>
        <w:t xml:space="preserve">. </w:t>
      </w:r>
      <w:r>
        <w:rPr>
          <w:rtl w:val="true"/>
        </w:rPr>
        <w:t xml:space="preserve">מיד לאחר מכן עזבו הנאשם וטארק את המקום תוך שהנאשם מאיים על המתלונן כי </w:t>
      </w:r>
      <w:r>
        <w:rPr>
          <w:rtl w:val="true"/>
        </w:rPr>
        <w:t>"</w:t>
      </w:r>
      <w:r>
        <w:rPr>
          <w:rtl w:val="true"/>
        </w:rPr>
        <w:t>יהרוג ויוריד אותו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בזמן האירוע נכח במקום ידיד של הנאשם</w:t>
      </w:r>
      <w:r>
        <w:rPr>
          <w:rtl w:val="true"/>
        </w:rPr>
        <w:t xml:space="preserve">, </w:t>
      </w:r>
      <w:r>
        <w:rPr>
          <w:rtl w:val="true"/>
        </w:rPr>
        <w:t>אשר ביקש לפייס בין הצדדים</w:t>
      </w:r>
      <w:r>
        <w:rPr>
          <w:rtl w:val="true"/>
        </w:rPr>
        <w:t xml:space="preserve">. </w:t>
      </w:r>
      <w:r>
        <w:rPr>
          <w:rtl w:val="true"/>
        </w:rPr>
        <w:t>הידיד התקשר לנאשם לאחר לכתו</w:t>
      </w:r>
      <w:r>
        <w:rPr>
          <w:rtl w:val="true"/>
        </w:rPr>
        <w:t xml:space="preserve">, </w:t>
      </w:r>
      <w:r>
        <w:rPr>
          <w:rtl w:val="true"/>
        </w:rPr>
        <w:t>והנאשם אמר שיגיע חזרה תוך מספר דקות</w:t>
      </w:r>
      <w:r>
        <w:rPr>
          <w:rtl w:val="true"/>
        </w:rPr>
        <w:t xml:space="preserve">. </w:t>
      </w:r>
      <w:r>
        <w:rPr>
          <w:rtl w:val="true"/>
        </w:rPr>
        <w:t>המתלונן ואביו</w:t>
      </w:r>
      <w:r>
        <w:rPr>
          <w:rtl w:val="true"/>
        </w:rPr>
        <w:t xml:space="preserve">, </w:t>
      </w:r>
      <w:r>
        <w:rPr>
          <w:rtl w:val="true"/>
        </w:rPr>
        <w:t>שהיו מעוניינים בעריכת 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", </w:t>
      </w:r>
      <w:r>
        <w:rPr>
          <w:rtl w:val="true"/>
        </w:rPr>
        <w:t>המתינו במקום כרבע שעה</w:t>
      </w:r>
      <w:r>
        <w:rPr>
          <w:rtl w:val="true"/>
        </w:rPr>
        <w:t xml:space="preserve">, </w:t>
      </w:r>
      <w:r>
        <w:rPr>
          <w:rtl w:val="true"/>
        </w:rPr>
        <w:t>אולם משראו כי הנאשם אינו מגיע שבו אל ביתם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כעבור מספר דקות הגיעו הנאשם וטארק לחניון הנמצא במרחק של כארבעים</w:t>
      </w:r>
      <w:r>
        <w:rPr>
          <w:rtl w:val="true"/>
        </w:rPr>
        <w:t>-</w:t>
      </w:r>
      <w:r>
        <w:rPr>
          <w:rtl w:val="true"/>
        </w:rPr>
        <w:t>חמישים מטרים מביתו של המתלונן</w:t>
      </w:r>
      <w:r>
        <w:rPr>
          <w:rtl w:val="true"/>
        </w:rPr>
        <w:t xml:space="preserve">, </w:t>
      </w:r>
      <w:r>
        <w:rPr>
          <w:rtl w:val="true"/>
        </w:rPr>
        <w:t>כשהנאשם נושא עמו אקדח</w:t>
      </w:r>
      <w:r>
        <w:rPr>
          <w:rtl w:val="true"/>
        </w:rPr>
        <w:t xml:space="preserve">. </w:t>
      </w:r>
      <w:r>
        <w:rPr>
          <w:rtl w:val="true"/>
        </w:rPr>
        <w:t>הנאשם קילל את המתלונן</w:t>
      </w:r>
      <w:r>
        <w:rPr>
          <w:rtl w:val="true"/>
        </w:rPr>
        <w:t xml:space="preserve">, </w:t>
      </w:r>
      <w:r>
        <w:rPr>
          <w:rtl w:val="true"/>
        </w:rPr>
        <w:t>את הוריו ואת אחיותיו תוך שהוא יורה באוויר באמצעות האקדח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בדיון מיום </w:t>
      </w:r>
      <w:r>
        <w:rPr/>
        <w:t>19.11.13</w:t>
      </w:r>
      <w:r>
        <w:rPr>
          <w:rtl w:val="true"/>
        </w:rPr>
        <w:t xml:space="preserve"> </w:t>
      </w:r>
      <w:r>
        <w:rPr>
          <w:rtl w:val="true"/>
        </w:rPr>
        <w:t>הודיעו הצדדים על הסדר דיון</w:t>
      </w:r>
      <w:r>
        <w:rPr>
          <w:rtl w:val="true"/>
        </w:rPr>
        <w:t xml:space="preserve">, </w:t>
      </w:r>
      <w:r>
        <w:rPr>
          <w:rtl w:val="true"/>
        </w:rPr>
        <w:t xml:space="preserve">לפיו תטען המאשימה לעונש ראוי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ומאסר על תנאי לתקופה שתקבע על</w:t>
      </w:r>
      <w:r>
        <w:rPr>
          <w:rtl w:val="true"/>
        </w:rPr>
        <w:t>-</w:t>
      </w:r>
      <w:r>
        <w:rPr>
          <w:rtl w:val="true"/>
        </w:rPr>
        <w:t>פי שיקול דעתו של בית המשפט</w:t>
      </w:r>
      <w:r>
        <w:rPr>
          <w:rtl w:val="true"/>
        </w:rPr>
        <w:t xml:space="preserve">; </w:t>
      </w:r>
      <w:r>
        <w:rPr>
          <w:rtl w:val="true"/>
        </w:rPr>
        <w:t xml:space="preserve">כשמנגד יטען הסנגור לעונש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כן הסכימו הצדדים על פסיקת פיצוי לנפגע העבירה בסך </w:t>
      </w:r>
      <w:r>
        <w:rPr/>
        <w:t>10,000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מן התסקיר עולה כי 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19.5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הנו רווק</w:t>
      </w:r>
      <w:r>
        <w:rPr>
          <w:rtl w:val="true"/>
        </w:rPr>
        <w:t xml:space="preserve">, </w:t>
      </w:r>
      <w:r>
        <w:rPr>
          <w:rtl w:val="true"/>
        </w:rPr>
        <w:t xml:space="preserve">בוגר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אשר עד למעצרו עבד ברצף משך שנתיים אצל קבלן לעבודות אינסטלציה</w:t>
      </w:r>
      <w:r>
        <w:rPr>
          <w:rtl w:val="true"/>
        </w:rPr>
        <w:t xml:space="preserve">. </w:t>
      </w:r>
      <w:r>
        <w:rPr>
          <w:rtl w:val="true"/>
        </w:rPr>
        <w:t>הנאשם עזב לימודיו בגיל צעיר והחל לעבוד על רקע אשפוזו של אביו</w:t>
      </w:r>
      <w:r>
        <w:rPr>
          <w:rtl w:val="true"/>
        </w:rPr>
        <w:t xml:space="preserve">, </w:t>
      </w:r>
      <w:r>
        <w:rPr>
          <w:rtl w:val="true"/>
        </w:rPr>
        <w:t>המאובחן כחולה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ועקב היותו הגדול מבין אחיו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קצין המבחן התרשם מקשיים תפקודיים במשפחת מוצאו של הנאשם</w:t>
      </w:r>
      <w:r>
        <w:rPr>
          <w:rtl w:val="true"/>
        </w:rPr>
        <w:t xml:space="preserve">, </w:t>
      </w:r>
      <w:r>
        <w:rPr>
          <w:rtl w:val="true"/>
        </w:rPr>
        <w:t>ומהיותו נעדר תמיכה והכוונה של דמויות בוגרות משמעותיות</w:t>
      </w:r>
      <w:r>
        <w:rPr>
          <w:rtl w:val="true"/>
        </w:rPr>
        <w:t xml:space="preserve">, </w:t>
      </w:r>
      <w:r>
        <w:rPr>
          <w:rtl w:val="true"/>
        </w:rPr>
        <w:t>כשמגיל צעיר הוא אשר ממלא דמות הורית במשפחתו</w:t>
      </w:r>
      <w:r>
        <w:rPr>
          <w:rtl w:val="true"/>
        </w:rPr>
        <w:t xml:space="preserve">. </w:t>
      </w:r>
      <w:r>
        <w:rPr>
          <w:rtl w:val="true"/>
        </w:rPr>
        <w:t>חרף יכולת ההסתגלות וההתמדה בעבודה</w:t>
      </w:r>
      <w:r>
        <w:rPr>
          <w:rtl w:val="true"/>
        </w:rPr>
        <w:t xml:space="preserve">, </w:t>
      </w:r>
      <w:r>
        <w:rPr>
          <w:rtl w:val="true"/>
        </w:rPr>
        <w:t>יכולותיו הרגשיות של הנאשם נמוכות</w:t>
      </w:r>
      <w:r>
        <w:rPr>
          <w:rtl w:val="true"/>
        </w:rPr>
        <w:t xml:space="preserve">, </w:t>
      </w:r>
      <w:r>
        <w:rPr>
          <w:rtl w:val="true"/>
        </w:rPr>
        <w:t>והוא תואר כחסר ביטחון וחרדתי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הנאשם סיפר לקצין המבחן כי הוא משתמש באופן מזדמן בסם מסוג גראס</w:t>
      </w:r>
      <w:r>
        <w:rPr>
          <w:rtl w:val="true"/>
        </w:rPr>
        <w:t xml:space="preserve">, </w:t>
      </w:r>
      <w:r>
        <w:rPr>
          <w:rtl w:val="true"/>
        </w:rPr>
        <w:t>וזאת עשה אף במהלך התקופה בה היה נתון לפיקוח יחידת המעצרים בשירות המבחן</w:t>
      </w:r>
      <w:r>
        <w:rPr>
          <w:rtl w:val="true"/>
        </w:rPr>
        <w:t xml:space="preserve">. </w:t>
      </w:r>
      <w:r>
        <w:rPr>
          <w:rtl w:val="true"/>
        </w:rPr>
        <w:t>בשיחות עמו הנאשם התקשה לערוך בדיקה עצמית מעמיקה</w:t>
      </w:r>
      <w:r>
        <w:rPr>
          <w:rtl w:val="true"/>
        </w:rPr>
        <w:t xml:space="preserve">, </w:t>
      </w:r>
      <w:r>
        <w:rPr>
          <w:rtl w:val="true"/>
        </w:rPr>
        <w:t>התייחסותו לחלקים הבעייתיים בתפקודו הייתה ברמה שטחית בלבד</w:t>
      </w:r>
      <w:r>
        <w:rPr>
          <w:rtl w:val="true"/>
        </w:rPr>
        <w:t xml:space="preserve">, </w:t>
      </w:r>
      <w:r>
        <w:rPr>
          <w:rtl w:val="true"/>
        </w:rPr>
        <w:t>באופן אשר מעיד על העדר הפנמה לחומרתן והשלכותיהן של העבירות אותן ביצע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אף נטילת האחריות למעשיו נעשתה ברמה המילולית</w:t>
      </w:r>
      <w:r>
        <w:rPr>
          <w:rtl w:val="true"/>
        </w:rPr>
        <w:t>-</w:t>
      </w:r>
      <w:r>
        <w:rPr>
          <w:rtl w:val="true"/>
        </w:rPr>
        <w:t>פורמאלית בלבד</w:t>
      </w:r>
      <w:r>
        <w:rPr>
          <w:rtl w:val="true"/>
        </w:rPr>
        <w:t xml:space="preserve">, </w:t>
      </w:r>
      <w:r>
        <w:rPr>
          <w:rtl w:val="true"/>
        </w:rPr>
        <w:t>מבלי שהנאשם ידע לפרט את  מניעיו ותוך שטוען כי מצא את האקדח בחורשה סמוכה</w:t>
      </w:r>
      <w:r>
        <w:rPr>
          <w:rtl w:val="true"/>
        </w:rPr>
        <w:t xml:space="preserve">. </w:t>
      </w:r>
      <w:r>
        <w:rPr>
          <w:rtl w:val="true"/>
        </w:rPr>
        <w:t>קצין המבחן ציין</w:t>
      </w:r>
      <w:r>
        <w:rPr>
          <w:rtl w:val="true"/>
        </w:rPr>
        <w:t xml:space="preserve">, </w:t>
      </w:r>
      <w:r>
        <w:rPr>
          <w:rtl w:val="true"/>
        </w:rPr>
        <w:t>כי בהתייחסותו לעבירות בלטו קווים ילדותיים ולא בשלים</w:t>
      </w:r>
      <w:r>
        <w:rPr>
          <w:rtl w:val="true"/>
        </w:rPr>
        <w:t xml:space="preserve">, </w:t>
      </w:r>
      <w:r>
        <w:rPr>
          <w:rtl w:val="true"/>
        </w:rPr>
        <w:t>תוך מזעור אחריותו</w:t>
      </w:r>
      <w:r>
        <w:rPr>
          <w:rtl w:val="true"/>
        </w:rPr>
        <w:t xml:space="preserve">, </w:t>
      </w:r>
      <w:r>
        <w:rPr>
          <w:rtl w:val="true"/>
        </w:rPr>
        <w:t>וכן כי הוא התקשה לגלות אמפתיה לצד הנפגע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הומלץ להטיל על הנאשם עונש  מאסר בפועל</w:t>
      </w:r>
      <w:r>
        <w:rPr>
          <w:rtl w:val="true"/>
        </w:rPr>
        <w:t xml:space="preserve">, </w:t>
      </w:r>
      <w:r>
        <w:rPr>
          <w:rtl w:val="true"/>
        </w:rPr>
        <w:t>ברף שהוצע על</w:t>
      </w:r>
      <w:r>
        <w:rPr>
          <w:rtl w:val="true"/>
        </w:rPr>
        <w:t>-</w:t>
      </w:r>
      <w:r>
        <w:rPr>
          <w:rtl w:val="true"/>
        </w:rPr>
        <w:t>ידי הצדדים</w:t>
      </w:r>
      <w:r>
        <w:rPr>
          <w:rtl w:val="true"/>
        </w:rPr>
        <w:t xml:space="preserve">, </w:t>
      </w:r>
      <w:r>
        <w:rPr>
          <w:rtl w:val="true"/>
        </w:rPr>
        <w:t>ועל שילובו בטיפול במסגרת שירות בתי הסוהר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המאשימה בטיעוניה חזרה על עמדתה באשר לעונש שפורט בהסדר הטיעון</w:t>
      </w:r>
      <w:r>
        <w:rPr>
          <w:rtl w:val="true"/>
        </w:rPr>
        <w:t xml:space="preserve">, </w:t>
      </w:r>
      <w:r>
        <w:rPr>
          <w:rtl w:val="true"/>
        </w:rPr>
        <w:t>בציינה את החומרה הכרוכה בעבירות שביצע הנאשם ובעבירות נשק בפרט</w:t>
      </w:r>
      <w:r>
        <w:rPr>
          <w:rtl w:val="true"/>
        </w:rPr>
        <w:t xml:space="preserve">. </w:t>
      </w:r>
      <w:r>
        <w:rPr>
          <w:rtl w:val="true"/>
        </w:rPr>
        <w:t>העונש לו היא עותרת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מצוי ברף התחתון של מתחם העונש ההולם את נסיבות ביצוע העבירה 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ואשר 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הסנגור טען כי לזכות הנאשם עומדות עובדת היותו בחור צעיר ונעדר עבר פלילי וכן הודאתו בעובדות 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נטען כי יחסיו עם משפחת המתלונן הם תקינים שמדובר בסיטואציה חד פעמית עליה הוא מתחרט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 לנסיבותיו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ציין כי אביו מאושפז במחלקה לטיפול נמרץ במצב קשה </w:t>
      </w:r>
      <w:r>
        <w:rPr>
          <w:rtl w:val="true"/>
        </w:rPr>
        <w:t>(</w:t>
      </w:r>
      <w:r>
        <w:rPr>
          <w:rtl w:val="true"/>
        </w:rPr>
        <w:t>הוצג אישורו של ד</w:t>
      </w:r>
      <w:r>
        <w:rPr>
          <w:rtl w:val="true"/>
        </w:rPr>
        <w:t>"</w:t>
      </w:r>
      <w:r>
        <w:rPr>
          <w:rtl w:val="true"/>
        </w:rPr>
        <w:t xml:space="preserve">ר אבי מזרחי מהמרכז הרפואי </w:t>
      </w:r>
      <w:r>
        <w:rPr>
          <w:rtl w:val="true"/>
        </w:rPr>
        <w:t>"</w:t>
      </w:r>
      <w:r>
        <w:rPr>
          <w:rtl w:val="true"/>
        </w:rPr>
        <w:t>אסף הרופא</w:t>
      </w:r>
      <w:r>
        <w:rPr>
          <w:rtl w:val="true"/>
        </w:rPr>
        <w:t xml:space="preserve">"), </w:t>
      </w:r>
      <w:r>
        <w:rPr>
          <w:rtl w:val="true"/>
        </w:rPr>
        <w:t>וכי עול פרנסת המשפחה מוטל כעת על כתפי הנאשם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בהינתן נסיבותיו האישיות והמשפחתיות ביקש שלא למצות את הדין עמו</w:t>
      </w:r>
      <w:r>
        <w:rPr>
          <w:rtl w:val="true"/>
        </w:rPr>
        <w:t xml:space="preserve">, </w:t>
      </w:r>
      <w:r>
        <w:rPr>
          <w:rtl w:val="true"/>
        </w:rPr>
        <w:t xml:space="preserve">ולהסתפק בעונש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הנאשם הביע בבית המשפט צער על מעשיו והתחייב שלא לחזור עליהם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רבות נכתב ודובר אודות הסכנה הטמונה בעבירות נשק</w:t>
      </w:r>
      <w:r>
        <w:rPr>
          <w:rtl w:val="true"/>
        </w:rPr>
        <w:t xml:space="preserve">, </w:t>
      </w:r>
      <w:r>
        <w:rPr>
          <w:rtl w:val="true"/>
        </w:rPr>
        <w:t>ובפרט כשמדובר בשימוש שנעשה בכלי הנשק במסגרת סכסוך</w:t>
      </w:r>
      <w:r>
        <w:rPr>
          <w:rtl w:val="true"/>
        </w:rPr>
        <w:t xml:space="preserve">. </w:t>
      </w:r>
      <w:r>
        <w:rPr>
          <w:rtl w:val="true"/>
        </w:rPr>
        <w:t>מעשיו של הנאשם</w:t>
      </w:r>
      <w:r>
        <w:rPr>
          <w:rtl w:val="true"/>
        </w:rPr>
        <w:t xml:space="preserve">, </w:t>
      </w:r>
      <w:r>
        <w:rPr>
          <w:rtl w:val="true"/>
        </w:rPr>
        <w:t>הן בעצם החזקת הנשק שלא כדין</w:t>
      </w:r>
      <w:r>
        <w:rPr>
          <w:rtl w:val="true"/>
        </w:rPr>
        <w:t xml:space="preserve">, </w:t>
      </w:r>
      <w:r>
        <w:rPr>
          <w:rtl w:val="true"/>
        </w:rPr>
        <w:t>ועל אחת כמה וכמה בשימוש שנעשה בו</w:t>
      </w:r>
      <w:r>
        <w:rPr>
          <w:rtl w:val="true"/>
        </w:rPr>
        <w:t xml:space="preserve">, </w:t>
      </w:r>
      <w:r>
        <w:rPr>
          <w:rtl w:val="true"/>
        </w:rPr>
        <w:t>יצרו סיכון כלפי חייהם וגופם של אנשים</w:t>
      </w:r>
      <w:r>
        <w:rPr>
          <w:rtl w:val="true"/>
        </w:rPr>
        <w:t xml:space="preserve">, </w:t>
      </w:r>
      <w:r>
        <w:rPr>
          <w:rtl w:val="true"/>
        </w:rPr>
        <w:t>ופגעו בסדר הציבורי ובתחושת הביטחון וההגנה של המתלונן ושל כלל תושבי השכונה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באשר לנסיבות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יש לציין כי עוד טרם ביצוע הירי הנאשם נהג כלפי המתלונן באלימות</w:t>
      </w:r>
      <w:r>
        <w:rPr>
          <w:rtl w:val="true"/>
        </w:rPr>
        <w:t xml:space="preserve">, </w:t>
      </w:r>
      <w:r>
        <w:rPr>
          <w:rtl w:val="true"/>
        </w:rPr>
        <w:t>מבלי שקדמה למעשיו התגרות מצד המתלונן</w:t>
      </w:r>
      <w:r>
        <w:rPr>
          <w:rtl w:val="true"/>
        </w:rPr>
        <w:t xml:space="preserve">. </w:t>
      </w:r>
      <w:r>
        <w:rPr>
          <w:rtl w:val="true"/>
        </w:rPr>
        <w:t>הנאשם ירק לעבר המתלונן</w:t>
      </w:r>
      <w:r>
        <w:rPr>
          <w:rtl w:val="true"/>
        </w:rPr>
        <w:t xml:space="preserve">, </w:t>
      </w:r>
      <w:r>
        <w:rPr>
          <w:rtl w:val="true"/>
        </w:rPr>
        <w:t>קיללו וניסה לפצוע אותו</w:t>
      </w:r>
      <w:r>
        <w:rPr>
          <w:rtl w:val="true"/>
        </w:rPr>
        <w:t xml:space="preserve">, </w:t>
      </w:r>
      <w:r>
        <w:rPr>
          <w:rtl w:val="true"/>
        </w:rPr>
        <w:t>ולא התעשת אף כשאביו של המתלונן ניגש לברר לפשר מעשיו</w:t>
      </w:r>
      <w:r>
        <w:rPr>
          <w:rtl w:val="true"/>
        </w:rPr>
        <w:t xml:space="preserve">. </w:t>
      </w:r>
      <w:r>
        <w:rPr>
          <w:rtl w:val="true"/>
        </w:rPr>
        <w:t>לא זאת אף זאת</w:t>
      </w:r>
      <w:r>
        <w:rPr>
          <w:rtl w:val="true"/>
        </w:rPr>
        <w:t xml:space="preserve">, </w:t>
      </w:r>
      <w:r>
        <w:rPr>
          <w:rtl w:val="true"/>
        </w:rPr>
        <w:t>הנאשם עזב את המקום</w:t>
      </w:r>
      <w:r>
        <w:rPr>
          <w:rtl w:val="true"/>
        </w:rPr>
        <w:t xml:space="preserve">, </w:t>
      </w:r>
      <w:r>
        <w:rPr>
          <w:rtl w:val="true"/>
        </w:rPr>
        <w:t>הצטייד בנשק וניגש אל מקום הסמוך לבית המתלונן מתוך מטרה וכוונה לירות באוויר</w:t>
      </w:r>
      <w:r>
        <w:rPr>
          <w:rtl w:val="true"/>
        </w:rPr>
        <w:t xml:space="preserve">, </w:t>
      </w:r>
      <w:r>
        <w:rPr>
          <w:rtl w:val="true"/>
        </w:rPr>
        <w:t>לשם איום והפחדה</w:t>
      </w:r>
      <w:r>
        <w:rPr>
          <w:rtl w:val="true"/>
        </w:rPr>
        <w:t xml:space="preserve">. </w:t>
      </w:r>
      <w:r>
        <w:rPr>
          <w:rtl w:val="true"/>
        </w:rPr>
        <w:t>במובן זה</w:t>
      </w:r>
      <w:r>
        <w:rPr>
          <w:rtl w:val="true"/>
        </w:rPr>
        <w:t xml:space="preserve">, </w:t>
      </w:r>
      <w:r>
        <w:rPr>
          <w:rtl w:val="true"/>
        </w:rPr>
        <w:t>אף כי לא נטענה או הוכחה כוונה לפגוע באדם באמצעות הנשק</w:t>
      </w:r>
      <w:r>
        <w:rPr>
          <w:rtl w:val="true"/>
        </w:rPr>
        <w:t xml:space="preserve">, </w:t>
      </w:r>
      <w:r>
        <w:rPr>
          <w:rtl w:val="true"/>
        </w:rPr>
        <w:t>הרי שיש מקום לבחון התרחשויות צפויות</w:t>
      </w:r>
      <w:r>
        <w:rPr>
          <w:rtl w:val="true"/>
        </w:rPr>
        <w:t xml:space="preserve">, </w:t>
      </w:r>
      <w:r>
        <w:rPr>
          <w:rtl w:val="true"/>
        </w:rPr>
        <w:t>לרבות על דרך של החרפת העימות בינו לבין המתלונן ובני משפחתו</w:t>
      </w:r>
      <w:r>
        <w:rPr>
          <w:rtl w:val="true"/>
        </w:rPr>
        <w:t xml:space="preserve">, </w:t>
      </w:r>
      <w:r>
        <w:rPr>
          <w:rtl w:val="true"/>
        </w:rPr>
        <w:t>באופן שהיה יכול להוביל לשימוש בנשק כלפי גופו של אדם</w:t>
      </w:r>
      <w:r>
        <w:rPr>
          <w:rtl w:val="true"/>
        </w:rPr>
        <w:t xml:space="preserve">. </w:t>
      </w:r>
      <w:r>
        <w:rPr>
          <w:rtl w:val="true"/>
        </w:rPr>
        <w:t>בשל הקלות הבלתי נסבלת של תוצאה מסוג זה</w:t>
      </w:r>
      <w:r>
        <w:rPr>
          <w:rtl w:val="true"/>
        </w:rPr>
        <w:t xml:space="preserve">, </w:t>
      </w:r>
      <w:r>
        <w:rPr>
          <w:rtl w:val="true"/>
        </w:rPr>
        <w:t>יש מקום להטלת עונשי מאסר גם על מי שמחזיק ונושא נשק שלא כדין מבלי לעשות בו שימוש</w:t>
      </w:r>
      <w:r>
        <w:rPr>
          <w:rtl w:val="true"/>
        </w:rPr>
        <w:t xml:space="preserve">, </w:t>
      </w:r>
      <w:r>
        <w:rPr>
          <w:rtl w:val="true"/>
        </w:rPr>
        <w:t>ומקל וחומר יש לנקוט גישה מחמירה כלפי המשתמשים בנשק שלא כדין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סקירת מדיניות הענישה הנהוגה בעבירות נשק בכלל</w:t>
      </w:r>
      <w:r>
        <w:rPr>
          <w:rtl w:val="true"/>
        </w:rPr>
        <w:t xml:space="preserve">, </w:t>
      </w:r>
      <w:r>
        <w:rPr>
          <w:rtl w:val="true"/>
        </w:rPr>
        <w:t>ובפרט בעבירות של ירי באזור מגורים</w:t>
      </w:r>
      <w:r>
        <w:rPr>
          <w:rtl w:val="true"/>
        </w:rPr>
        <w:t xml:space="preserve">, </w:t>
      </w:r>
      <w:r>
        <w:rPr>
          <w:rtl w:val="true"/>
        </w:rPr>
        <w:t>מעלה כי מתחם העונש לו עותרת המאשימה במקרה זה הולם את נסיבות המקרה ומשקף נכונה את רוח הפסיקה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720" w:end="0"/>
        <w:jc w:val="both"/>
        <w:rPr/>
      </w:pP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35709-03-12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 xml:space="preserve">אזי </w:t>
      </w:r>
      <w:r>
        <w:rPr>
          <w:rtl w:val="true"/>
        </w:rPr>
        <w:t>(</w:t>
      </w:r>
      <w:r>
        <w:rPr/>
        <w:t>21.01.13</w:t>
      </w:r>
      <w:r>
        <w:rPr>
          <w:rtl w:val="true"/>
        </w:rPr>
        <w:t xml:space="preserve">) </w:t>
      </w:r>
      <w:r>
        <w:rPr>
          <w:rtl w:val="true"/>
        </w:rPr>
        <w:t xml:space="preserve">בו הואשמו הנאשמים </w:t>
      </w:r>
      <w:r>
        <w:rPr>
          <w:u w:val="single"/>
          <w:rtl w:val="true"/>
        </w:rPr>
        <w:t xml:space="preserve">במקרה יחיד של נשיאה והובלה של נשק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ברכב</w:t>
      </w:r>
      <w:r>
        <w:rPr>
          <w:u w:val="single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נקבע על</w:t>
      </w:r>
      <w:r>
        <w:rPr>
          <w:rtl w:val="true"/>
        </w:rPr>
        <w:t>-</w:t>
      </w:r>
      <w:r>
        <w:rPr>
          <w:rtl w:val="true"/>
        </w:rPr>
        <w:t xml:space="preserve">ידי מתחם ענישה שבין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על כל אחד מן הנאשמים שם נגזר בסופו של יום עונש של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וזאת תוך הפנייתי למתחם שקבעתי בתיק בו הורשע נאשם לאחר הוכחות בעבירות של נשיאת רובה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הובלתם והחזקתם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15527-08-10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חסן אבו ליל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12.06.12</w:t>
      </w:r>
      <w:r>
        <w:rPr>
          <w:rtl w:val="true"/>
        </w:rPr>
        <w:t xml:space="preserve">)) </w:t>
      </w:r>
      <w:r>
        <w:rPr>
          <w:rtl w:val="true"/>
        </w:rPr>
        <w:t>כשהנאשם שם נידון  ל</w:t>
      </w:r>
      <w:r>
        <w:rPr>
          <w:rtl w:val="true"/>
        </w:rPr>
        <w:t>-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694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12251-11-11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אחמד </w:t>
      </w:r>
      <w:r>
        <w:rPr>
          <w:rtl w:val="true"/>
        </w:rPr>
        <w:t>(</w:t>
      </w:r>
      <w:r>
        <w:rPr/>
        <w:t>13.09.12</w:t>
      </w:r>
      <w:r>
        <w:rPr>
          <w:rtl w:val="true"/>
        </w:rPr>
        <w:t xml:space="preserve">)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הורשע בעבירות של </w:t>
      </w:r>
      <w:r>
        <w:rPr>
          <w:u w:val="single"/>
          <w:rtl w:val="true"/>
        </w:rPr>
        <w:t xml:space="preserve">החזקת אקדח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שני מקרים</w:t>
      </w:r>
      <w:r>
        <w:rPr>
          <w:u w:val="single"/>
          <w:rtl w:val="true"/>
        </w:rPr>
        <w:t xml:space="preserve">), </w:t>
      </w:r>
      <w:r>
        <w:rPr>
          <w:u w:val="single"/>
          <w:rtl w:val="true"/>
        </w:rPr>
        <w:t xml:space="preserve">נשיאה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שני מקרים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 xml:space="preserve">וירי באזור מגורים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בחתונה</w:t>
      </w:r>
      <w:r>
        <w:rPr>
          <w:rtl w:val="true"/>
        </w:rPr>
        <w:t xml:space="preserve">) </w:t>
      </w:r>
      <w:r>
        <w:rPr>
          <w:rtl w:val="true"/>
        </w:rPr>
        <w:t xml:space="preserve">ונגזר עליו עונש מאסר של 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694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21113-08-12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כנאנה </w:t>
      </w:r>
      <w:r>
        <w:rPr>
          <w:rtl w:val="true"/>
        </w:rPr>
        <w:t>(</w:t>
      </w:r>
      <w:r>
        <w:rPr/>
        <w:t>27.11.12</w:t>
      </w:r>
      <w:r>
        <w:rPr>
          <w:rtl w:val="true"/>
        </w:rPr>
        <w:t xml:space="preserve">) </w:t>
      </w:r>
      <w:r>
        <w:rPr>
          <w:rtl w:val="true"/>
        </w:rPr>
        <w:t xml:space="preserve">הורשע נאשם בעבירות של </w:t>
      </w:r>
      <w:r>
        <w:rPr>
          <w:u w:val="single"/>
          <w:rtl w:val="true"/>
        </w:rPr>
        <w:t>החזקת נשק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ניסיון פציעה וירי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ולאחר שקבעתי מתחם ענישה שבין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גזרתי את דינו ל</w:t>
      </w:r>
      <w:r>
        <w:rPr>
          <w:rtl w:val="true"/>
        </w:rPr>
        <w:t>-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יצוין כי במסגרת הסדר הטיעון בתיק זה סוכם כי התביעה תטען לעונש ראוי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>(</w:t>
      </w:r>
      <w:r>
        <w:rPr>
          <w:rtl w:val="true"/>
        </w:rPr>
        <w:t>על רקע קשיים ראייתים בתיק</w:t>
      </w:r>
      <w:r>
        <w:rPr>
          <w:rtl w:val="true"/>
        </w:rPr>
        <w:t xml:space="preserve">). </w:t>
      </w:r>
      <w:r>
        <w:rPr>
          <w:rtl w:val="true"/>
        </w:rPr>
        <w:t>עוד יצוין כי הנאשם שם היה בעל עבר פלילי לא מכביד</w:t>
      </w:r>
      <w:r>
        <w:rPr>
          <w:rtl w:val="true"/>
        </w:rPr>
        <w:t xml:space="preserve">, </w:t>
      </w:r>
      <w:r>
        <w:rPr>
          <w:rtl w:val="true"/>
        </w:rPr>
        <w:t>ואדם נורמטיבי ככלל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694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6989/13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חנא פרח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25.02.14</w:t>
      </w:r>
      <w:r>
        <w:rPr>
          <w:rtl w:val="true"/>
        </w:rPr>
        <w:t xml:space="preserve">) </w:t>
      </w:r>
      <w:r>
        <w:rPr>
          <w:rtl w:val="true"/>
        </w:rPr>
        <w:t xml:space="preserve">נדחה ערעורו של נאשם אשר הורשע בעבירות של </w:t>
      </w:r>
      <w:r>
        <w:rPr>
          <w:u w:val="single"/>
          <w:rtl w:val="true"/>
        </w:rPr>
        <w:t>ירי באזור מגורים והחזקה ונשיאת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וכן בעבירות </w:t>
      </w:r>
      <w:r>
        <w:rPr>
          <w:rtl w:val="true"/>
        </w:rPr>
        <w:t>(</w:t>
      </w:r>
      <w:r>
        <w:rPr>
          <w:rtl w:val="true"/>
        </w:rPr>
        <w:t>אישום נוסף</w:t>
      </w:r>
      <w:r>
        <w:rPr>
          <w:rtl w:val="true"/>
        </w:rPr>
        <w:t xml:space="preserve">) </w:t>
      </w:r>
      <w:r>
        <w:rPr>
          <w:rtl w:val="true"/>
        </w:rPr>
        <w:t xml:space="preserve">של </w:t>
      </w:r>
      <w:r>
        <w:rPr>
          <w:u w:val="single"/>
          <w:rtl w:val="true"/>
        </w:rPr>
        <w:t>תקיפת שוטר ונהיגה בשכרות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העמיד את מתחם הענישה לגבי עבירות הנשק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וגזר על המערער עונש כולל של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 העליון אישר קביעותיו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דחה את הערעור וקבע כי עיון בפסיקה מלמד כי העונש אינו חורג מרף הענישה המקובל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68" w:start="694"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בהינתן נסיבותיו של המקרה דנן ובהשוואה למדיניות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</w:t>
      </w:r>
      <w:r>
        <w:rPr>
          <w:b/>
          <w:b/>
          <w:bCs/>
          <w:u w:val="single"/>
          <w:rtl w:val="true"/>
        </w:rPr>
        <w:t xml:space="preserve">מתחם הענישה ההולם במקרה זה נע בין </w:t>
      </w:r>
      <w:r>
        <w:rPr>
          <w:b/>
          <w:bCs/>
          <w:u w:val="single"/>
        </w:rPr>
        <w:t>12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36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68" w:start="694"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tl w:val="true"/>
        </w:rPr>
        <w:t>באשר לנסיבותיו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מתוך התחשבות בגיליונו </w:t>
      </w:r>
      <w:r>
        <w:rPr>
          <w:rtl w:val="true"/>
        </w:rPr>
        <w:t>"</w:t>
      </w:r>
      <w:r>
        <w:rPr>
          <w:rtl w:val="true"/>
        </w:rPr>
        <w:t>הנקי</w:t>
      </w:r>
      <w:r>
        <w:rPr>
          <w:rtl w:val="true"/>
        </w:rPr>
        <w:t xml:space="preserve">", </w:t>
      </w:r>
      <w:r>
        <w:rPr>
          <w:rtl w:val="true"/>
        </w:rPr>
        <w:t>בגילו הצעיר</w:t>
      </w:r>
      <w:r>
        <w:rPr>
          <w:rtl w:val="true"/>
        </w:rPr>
        <w:t xml:space="preserve">, </w:t>
      </w:r>
      <w:r>
        <w:rPr>
          <w:rtl w:val="true"/>
        </w:rPr>
        <w:t>הודאתו בעובדות כתב האישום</w:t>
      </w:r>
      <w:r>
        <w:rPr>
          <w:rtl w:val="true"/>
        </w:rPr>
        <w:t xml:space="preserve">, </w:t>
      </w:r>
      <w:r>
        <w:rPr>
          <w:rtl w:val="true"/>
        </w:rPr>
        <w:t>וכן בחלקו בפרנסת משפחתו ובנכונותו לפצות את נפגע העבירה</w:t>
      </w:r>
      <w:r>
        <w:rPr>
          <w:rtl w:val="true"/>
        </w:rPr>
        <w:t xml:space="preserve">, </w:t>
      </w:r>
      <w:r>
        <w:rPr>
          <w:rtl w:val="true"/>
        </w:rPr>
        <w:t>מצאתי לנכון לכבד את הסדר הטיעון ולהטיל על הנאשם עונש המצוי ברף התחתון של מתחם הענישה הראוי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26"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לסיכום דבריי</w:t>
      </w:r>
      <w:r>
        <w:rPr>
          <w:rtl w:val="true"/>
        </w:rPr>
        <w:t xml:space="preserve">, </w:t>
      </w:r>
      <w:r>
        <w:rPr>
          <w:rtl w:val="true"/>
        </w:rPr>
        <w:t xml:space="preserve">אני </w:t>
      </w:r>
      <w:r>
        <w:rPr>
          <w:rtl w:val="true"/>
        </w:rPr>
        <w:t>גוזר</w:t>
      </w:r>
      <w:r>
        <w:rPr>
          <w:rtl w:val="true"/>
        </w:rPr>
        <w:t xml:space="preserve">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36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אני דן את הנאשם ל</w:t>
      </w:r>
      <w:r>
        <w:rPr>
          <w:rtl w:val="true"/>
        </w:rPr>
        <w:t xml:space="preserve">שלושה עשר וחצי חודשי מאסר </w:t>
      </w:r>
      <w:r>
        <w:rPr>
          <w:rtl w:val="true"/>
        </w:rPr>
        <w:t xml:space="preserve">לריצוי </w:t>
      </w:r>
      <w:r>
        <w:rPr>
          <w:rtl w:val="true"/>
        </w:rPr>
        <w:t>בפועל בניכוי ימי מעצרו</w:t>
      </w:r>
      <w:r>
        <w:rPr>
          <w:rtl w:val="true"/>
        </w:rPr>
        <w:t xml:space="preserve">, </w:t>
      </w:r>
      <w:r>
        <w:rPr>
          <w:rtl w:val="true"/>
        </w:rPr>
        <w:t>בתאריכים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10.02.13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19.03.13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 xml:space="preserve">מיום </w:t>
      </w:r>
      <w:r>
        <w:rPr/>
        <w:t>11.08.13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12.08.13</w:t>
      </w:r>
      <w:r>
        <w:rPr>
          <w:rtl w:val="true"/>
        </w:rPr>
        <w:t xml:space="preserve">; </w:t>
      </w:r>
      <w:r>
        <w:rPr>
          <w:rtl w:val="true"/>
        </w:rPr>
        <w:t>ו</w:t>
      </w:r>
      <w:bookmarkStart w:id="10" w:name="_GoBack"/>
      <w:bookmarkEnd w:id="10"/>
      <w:r>
        <w:rPr>
          <w:rtl w:val="true"/>
        </w:rPr>
        <w:t xml:space="preserve">מיום </w:t>
      </w:r>
      <w:r>
        <w:rPr/>
        <w:t>21.10.13</w:t>
      </w:r>
      <w:r>
        <w:rPr>
          <w:rtl w:val="true"/>
        </w:rPr>
        <w:t xml:space="preserve"> </w:t>
      </w:r>
      <w:r>
        <w:rPr>
          <w:rtl w:val="true"/>
        </w:rPr>
        <w:t>ועד היום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16" w:start="1436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עשרה חודשי מאסר על תנאי למשך שנתיים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יבצע בפרק זמן זה עבירת נשק או אלימות</w:t>
      </w:r>
      <w:r>
        <w:rPr>
          <w:rtl w:val="true"/>
        </w:rPr>
        <w:t xml:space="preserve">, </w:t>
      </w:r>
      <w:r>
        <w:rPr>
          <w:rtl w:val="true"/>
        </w:rPr>
        <w:t>לרבות איומים</w:t>
      </w:r>
      <w:r>
        <w:rPr>
          <w:rtl w:val="true"/>
        </w:rPr>
        <w:t xml:space="preserve">, </w:t>
      </w:r>
      <w:r>
        <w:rPr>
          <w:rtl w:val="true"/>
        </w:rPr>
        <w:t>שיורשע 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36" w:end="0"/>
        <w:jc w:val="both"/>
        <w:rPr>
          <w:rFonts w:ascii="Calibri" w:hAnsi="Calibri" w:cs="Calibri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אני מחייב את הנאשם לפצות את המתלונן בסכום של </w:t>
      </w:r>
      <w:r>
        <w:rPr/>
        <w:t>10,000</w:t>
      </w:r>
      <w:r>
        <w:rPr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סכום זה יופקד בקופת ביהמ</w:t>
      </w:r>
      <w:r>
        <w:rPr>
          <w:rtl w:val="true"/>
        </w:rPr>
        <w:t>"</w:t>
      </w:r>
      <w:r>
        <w:rPr>
          <w:rtl w:val="true"/>
        </w:rPr>
        <w:t xml:space="preserve">ש בתוך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 מיום סיום ריצוי עונשו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תעביר למזכירות ביהמ</w:t>
      </w:r>
      <w:r>
        <w:rPr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 פרטי המתלונן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 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03/03/2014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תאופיק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כתילי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45550-02-13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פאוזי איוב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34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0301/334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inks/psika/?NEWPROC=&#1514;&#1508;&amp;NEWPARTA=35709&amp;NEWPARTB=03&amp;NEWPARTC=12" TargetMode="External"/><Relationship Id="rId17" Type="http://schemas.openxmlformats.org/officeDocument/2006/relationships/hyperlink" Target="http://www.nevo.co.il/links/psika/?NEWPROC=&#1514;&#1508;&amp;NEWPARTA=15527&amp;NEWPARTB=08&amp;NEWPARTC=10" TargetMode="External"/><Relationship Id="rId18" Type="http://schemas.openxmlformats.org/officeDocument/2006/relationships/hyperlink" Target="http://www.nevo.co.il/links/psika/?NEWPROC=&#1514;&#1508;&amp;NEWPARTA=12251&amp;NEWPARTB=11&amp;NEWPARTC=11" TargetMode="External"/><Relationship Id="rId19" Type="http://schemas.openxmlformats.org/officeDocument/2006/relationships/hyperlink" Target="http://www.nevo.co.il/links/psika/?NEWPROC=&#1514;&#1508;&amp;NEWPARTA=21113&amp;NEWPARTB=08&amp;NEWPARTC=12" TargetMode="External"/><Relationship Id="rId20" Type="http://schemas.openxmlformats.org/officeDocument/2006/relationships/hyperlink" Target="http://www.nevo.co.il/links/psika/?link=&#1506;&#1508;%206989/13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2014-03-10T09:32:00Z</dcterms:created>
  <dc:creator> </dc:creator>
  <dc:description/>
  <cp:keywords/>
  <dc:language>en-IL</dc:language>
  <cp:lastModifiedBy>hofit</cp:lastModifiedBy>
  <dcterms:modified xsi:type="dcterms:W3CDTF">2014-03-10T09:32:00Z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פאוזי איוב</vt:lpwstr>
  </property>
  <property fmtid="{D5CDD505-2E9C-101B-9397-08002B2CF9AE}" pid="4" name="CITY">
    <vt:lpwstr>נצ'</vt:lpwstr>
  </property>
  <property fmtid="{D5CDD505-2E9C-101B-9397-08002B2CF9AE}" pid="5" name="DATE">
    <vt:lpwstr>20140303</vt:lpwstr>
  </property>
  <property fmtid="{D5CDD505-2E9C-101B-9397-08002B2CF9AE}" pid="6" name="ISABSTRACT">
    <vt:lpwstr>Y</vt:lpwstr>
  </property>
  <property fmtid="{D5CDD505-2E9C-101B-9397-08002B2CF9AE}" pid="7" name="JUDGE">
    <vt:lpwstr>תאופיק כתילי</vt:lpwstr>
  </property>
  <property fmtid="{D5CDD505-2E9C-101B-9397-08002B2CF9AE}" pid="8" name="LAWLISTTMP1">
    <vt:lpwstr>70301/144.b;144.a;340a;192;334;025</vt:lpwstr>
  </property>
  <property fmtid="{D5CDD505-2E9C-101B-9397-08002B2CF9AE}" pid="9" name="LAWYER">
    <vt:lpwstr>הובא ו;הובא ו חאלד אבו אחמד;סופי טקצ'מן גרניט</vt:lpwstr>
  </property>
  <property fmtid="{D5CDD505-2E9C-101B-9397-08002B2CF9AE}" pid="10" name="NEWPARTA">
    <vt:lpwstr>45550</vt:lpwstr>
  </property>
  <property fmtid="{D5CDD505-2E9C-101B-9397-08002B2CF9AE}" pid="11" name="NEWPARTB">
    <vt:lpwstr>02</vt:lpwstr>
  </property>
  <property fmtid="{D5CDD505-2E9C-101B-9397-08002B2CF9AE}" pid="12" name="NEWPARTC">
    <vt:lpwstr>13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390020140303</vt:lpwstr>
  </property>
  <property fmtid="{D5CDD505-2E9C-101B-9397-08002B2CF9AE}" pid="17" name="TYPE_N_DATE">
    <vt:lpwstr>39020140303</vt:lpwstr>
  </property>
  <property fmtid="{D5CDD505-2E9C-101B-9397-08002B2CF9AE}" pid="18" name="WORDNUMPAGES">
    <vt:lpwstr>5</vt:lpwstr>
  </property>
</Properties>
</file>