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45561-04-17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קפלן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1671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7897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בפני כבוד השופט עמי קובו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789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מיכאל קפלן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רייס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גבא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196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tl w:val="true"/>
        </w:rPr>
        <w:t>י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רקע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7" w:name="ABSTRACT_START"/>
      <w:bookmarkEnd w:id="7"/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")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להודאתו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כדלקמן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  <w:u w:val="single"/>
        </w:rPr>
      </w:pPr>
      <w:r>
        <w:rPr>
          <w:rFonts w:ascii="David" w:hAnsi="David"/>
          <w:color w:val="000000"/>
          <w:u w:val="single"/>
          <w:rtl w:val="true"/>
        </w:rPr>
        <w:t>אישום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השני</w:t>
      </w:r>
      <w:r>
        <w:rPr>
          <w:rFonts w:cs="David" w:ascii="David" w:hAnsi="David"/>
          <w:color w:val="000000"/>
          <w:u w:val="single"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44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תקיפה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מחמירות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ממניע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גזעני</w:t>
      </w:r>
      <w:r>
        <w:rPr>
          <w:rFonts w:cs="David" w:ascii="David" w:hAnsi="David"/>
          <w:b/>
          <w:bCs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379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וסעיף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382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בנסיבות</w:t>
      </w:r>
      <w:r>
        <w:rPr>
          <w:rFonts w:ascii="David" w:hAnsi="David"/>
          <w:color w:val="000000"/>
          <w:rtl w:val="true"/>
        </w:rPr>
        <w:t xml:space="preserve">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ו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>").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44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קשירת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לפשע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499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בחוק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hanging="720" w:start="1440" w:end="0"/>
        <w:jc w:val="both"/>
        <w:rPr>
          <w:rFonts w:ascii="David" w:hAnsi="David" w:cs="David"/>
          <w:color w:val="000000"/>
          <w:u w:val="single"/>
        </w:rPr>
      </w:pPr>
      <w:bookmarkStart w:id="8" w:name="ABSTRACT_END"/>
      <w:bookmarkEnd w:id="8"/>
      <w:r>
        <w:rPr>
          <w:rFonts w:ascii="David" w:hAnsi="David"/>
          <w:color w:val="000000"/>
          <w:u w:val="single"/>
          <w:rtl w:val="true"/>
        </w:rPr>
        <w:t>אישום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שלישי</w:t>
      </w:r>
      <w:r>
        <w:rPr>
          <w:rFonts w:cs="David" w:ascii="David" w:hAnsi="David"/>
          <w:color w:val="000000"/>
          <w:u w:val="single"/>
          <w:rtl w:val="true"/>
        </w:rPr>
        <w:t>:</w:t>
      </w:r>
    </w:p>
    <w:p>
      <w:pPr>
        <w:pStyle w:val="Normal"/>
        <w:spacing w:lineRule="auto" w:line="360" w:before="0" w:after="120"/>
        <w:ind w:firstLine="720" w:start="36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.  </w:t>
        <w:tab/>
      </w:r>
      <w:r>
        <w:rPr>
          <w:rFonts w:ascii="David" w:hAnsi="David"/>
          <w:b/>
          <w:b/>
          <w:bCs/>
          <w:color w:val="000000"/>
          <w:rtl w:val="true"/>
        </w:rPr>
        <w:t>סיוע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להצתה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448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31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</w:p>
    <w:p>
      <w:pPr>
        <w:pStyle w:val="Normal"/>
        <w:spacing w:lineRule="auto" w:line="360" w:before="0" w:after="120"/>
        <w:ind w:hanging="360" w:start="144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rtl w:val="true"/>
        </w:rPr>
        <w:tab/>
      </w:r>
      <w:r>
        <w:rPr>
          <w:rFonts w:ascii="David" w:hAnsi="David"/>
          <w:b/>
          <w:b/>
          <w:bCs/>
          <w:color w:val="000000"/>
          <w:rtl w:val="true"/>
        </w:rPr>
        <w:t>סיוע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להשחתת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מקרקעין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ממניע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גזעני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196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בנסיבות</w:t>
      </w:r>
      <w:r>
        <w:rPr>
          <w:rFonts w:ascii="David" w:hAnsi="David"/>
          <w:color w:val="000000"/>
          <w:rtl w:val="true"/>
        </w:rPr>
        <w:t xml:space="preserve">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ו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31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בחוק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44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קשר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לפשע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499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בחוק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30.6.15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במהלך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הנסיעה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והאחרים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קשרו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ביניהם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לפיו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ייתקלו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במהלך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הנסיעה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בערבי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יכו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אותו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קידומו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ירדו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ליישוב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נריה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והצטיידו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במקלות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ובכפיסי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עץ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חזרו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הרכב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ושמו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פעמיהם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לכיוון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הכפר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הפלסטיני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ראס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כרכר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rtl w:val="true"/>
        </w:rPr>
        <w:t>(</w:t>
      </w:r>
      <w:r>
        <w:rPr>
          <w:rFonts w:ascii="David" w:hAnsi="David"/>
          <w:b/>
          <w:b/>
          <w:bCs/>
          <w:color w:val="000000"/>
          <w:rtl w:val="true"/>
        </w:rPr>
        <w:t>להלן</w:t>
      </w:r>
      <w:r>
        <w:rPr>
          <w:rFonts w:cs="David" w:ascii="David" w:hAnsi="David"/>
          <w:b/>
          <w:bCs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הכפר</w:t>
      </w:r>
      <w:r>
        <w:rPr>
          <w:rFonts w:cs="David" w:ascii="David" w:hAnsi="David"/>
          <w:b/>
          <w:bCs/>
          <w:color w:val="000000"/>
          <w:rtl w:val="true"/>
        </w:rPr>
        <w:t>")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סמוך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הבחינו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במתלונן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הכפר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יליד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1955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עסק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חקלאית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והאחרים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יצאו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מהרכב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כשהם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רעולי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פנים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ובעודם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מצוידים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במקלות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ובגז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מדמיע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ריססו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גז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מדמיע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בפניו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המתלונן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והכו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אותו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באמצעות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המקלות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שהיו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ברשותם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כתוצאה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מהתקיפה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נגרמו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למתלונן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פצעים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בצלעותיו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ובידו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כאשר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ביקש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המתלונן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להימלט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נפשו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נגרמו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במנוסתו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פצעים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בכפות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רגליו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לאחר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שדרך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חלקי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ברזל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וזכוכית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השלישי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29.7.14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האחרים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לבצע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פיגוע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בכפר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ביתילו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rtl w:val="true"/>
        </w:rPr>
        <w:t>(</w:t>
      </w:r>
      <w:r>
        <w:rPr>
          <w:rFonts w:ascii="David" w:hAnsi="David"/>
          <w:b/>
          <w:b/>
          <w:bCs/>
          <w:color w:val="000000"/>
          <w:rtl w:val="true"/>
        </w:rPr>
        <w:t>להלן</w:t>
      </w:r>
      <w:r>
        <w:rPr>
          <w:rFonts w:cs="David" w:ascii="David" w:hAnsi="David"/>
          <w:b/>
          <w:bCs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המקום</w:t>
      </w:r>
      <w:r>
        <w:rPr>
          <w:rFonts w:cs="David" w:ascii="David" w:hAnsi="David"/>
          <w:b/>
          <w:bCs/>
          <w:color w:val="000000"/>
          <w:rtl w:val="true"/>
        </w:rPr>
        <w:t xml:space="preserve">") </w:t>
      </w:r>
      <w:r>
        <w:rPr>
          <w:rFonts w:ascii="David" w:hAnsi="David"/>
          <w:b/>
          <w:b/>
          <w:bCs/>
          <w:color w:val="000000"/>
          <w:rtl w:val="true"/>
        </w:rPr>
        <w:t>וזאת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רקע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יידויי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אבנים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ציר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תחבורה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המוביל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לישוב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נחליאל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ביום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29.7.14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הגיעו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והאחרים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למקום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כשהם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מצוידים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במיכל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ובו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נוזל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דליק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ותרסיס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צבע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ופניהם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מכוסות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באמצעות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חולצות</w:t>
      </w:r>
      <w:r>
        <w:rPr>
          <w:rFonts w:cs="David" w:ascii="David" w:hAnsi="David"/>
          <w:b/>
          <w:bCs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בהגיעם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הבחינו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דייהו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לתושב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הכפר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אז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ריסס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אחד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מהאחרים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סמוך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הכתובות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נקמה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זריקות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אבנים</w:t>
      </w:r>
      <w:r>
        <w:rPr>
          <w:rFonts w:cs="David" w:ascii="David" w:hAnsi="David"/>
          <w:b/>
          <w:bCs/>
          <w:color w:val="000000"/>
          <w:rtl w:val="true"/>
        </w:rPr>
        <w:t xml:space="preserve">" </w:t>
      </w:r>
      <w:r>
        <w:rPr>
          <w:rFonts w:ascii="David" w:hAnsi="David"/>
          <w:b/>
          <w:b/>
          <w:bCs/>
          <w:color w:val="000000"/>
          <w:rtl w:val="true"/>
        </w:rPr>
        <w:t>וצורת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מגן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דוד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במקביל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שפך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אחר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נוסף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חומר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דליק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מכסה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המנוע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הרכב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ואחד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האחרים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הצית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החומר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באמצעות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גפרור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כתוצאה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מכך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נשרף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מכסה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המנוע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הרכב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ונגרם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נזק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כבד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הצדדים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טיעון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ויופנה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התביעה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תעתור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פתוח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רכיבי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תסקירי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שירות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המבחן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21.1.18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21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נשוי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ולומד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בישיבה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בהיותו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קטנה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ביישוב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יצהר</w:t>
      </w:r>
      <w:r>
        <w:rPr>
          <w:rFonts w:cs="David" w:ascii="David" w:hAnsi="David"/>
          <w:color w:val="000000"/>
          <w:rtl w:val="true"/>
        </w:rPr>
        <w:t xml:space="preserve">". </w:t>
      </w:r>
      <w:r>
        <w:rPr>
          <w:rFonts w:ascii="David" w:hAnsi="David"/>
          <w:color w:val="000000"/>
          <w:rtl w:val="true"/>
        </w:rPr>
        <w:t>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אופיינה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בשהייה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בגבעות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ושומרון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ובמאחזים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בהתחברות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לנוער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בעייתי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המנוגדים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בגיל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בישיבה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בישוב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נחליאל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סיפקה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ועזרה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להתנתק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מהסביבה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הבעייתית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משויך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נישא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לדבריו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ביגר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וגרם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צעדיו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מרגיש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בהשתלבות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והתמקדות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בבניית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עתידו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ועתיד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מזדמנות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ללימודיו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פרטיות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השיפוצים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והבנייה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בהתייחסו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וגילה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לחומרתם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לדבריו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מורכבת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ופעל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ומחשבה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בתפיסות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ועמדות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בעייתיות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הצדקה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שאותם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ומסוכנים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עליהם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תפיסות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ועמדות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בעייתיות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שאותן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אימץ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שאיפות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לעתיד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תפקוד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תקינות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דפוסיו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ההשלכות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הכרוכות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ספג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ועמדות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אנטי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ערביות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שאפינו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הסביבה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בעמדות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המבטאות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לגיטימציה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ורצון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לאלימות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נקמה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מגובשת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רצון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מרתיע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ומלמד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קיצוניות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להיסחפות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חברתית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שייכות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ובהיעדר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המהווים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חוזרות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בעתיד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הומלץ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שילובו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25.3.18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דיווח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העוסקת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להתמודדות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2018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מדיווח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שהתקבל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ממנחי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הקבוצה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מוטיבציה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רציף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ועקבי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למפגשים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משתף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מעולמו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הפנימי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ומצליח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להתבונן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מעמיק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בדפוסי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אישיותו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מכישוריו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ומהווה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וחיובית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בעיצומו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הומלץ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דחיה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ההתקדמות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הטיפולית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23.7.18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דיווח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שיתוף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בהליך</w:t>
      </w:r>
      <w:r>
        <w:rPr>
          <w:rFonts w:ascii="David" w:hAnsi="David"/>
          <w:color w:val="000000"/>
          <w:rtl w:val="true"/>
        </w:rPr>
        <w:t xml:space="preserve">  </w:t>
      </w:r>
      <w:r>
        <w:rPr>
          <w:rFonts w:ascii="David" w:hAnsi="David"/>
          <w:color w:val="000000"/>
          <w:rtl w:val="true"/>
        </w:rPr>
        <w:t>הטיפולי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תחילה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בחשיפה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להעמיק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ולבחון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בחירותיו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שהתקדמו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המפגשים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הצליח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להתבונן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ומרשים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דפוסיו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הבעייתיים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הובילו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למעורבותו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מכישוריו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המשתתפים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וחיובית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בעמדות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בעיתיות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בגיבוש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זהותו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ומקדם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והצליח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להפיק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תובנות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להפחית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לרצידיביזם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אידיאולוגיות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דימוי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וחסכים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שהתחזק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בטחונו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העצמי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האמור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כותלי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המליץ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שירות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המבחן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הטלת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בעבודות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ראיות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לעונש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u w:val="single"/>
          <w:rtl w:val="true"/>
        </w:rPr>
        <w:t>הצהרת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נפגע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עבירה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באישום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השני</w:t>
      </w:r>
      <w:r>
        <w:rPr>
          <w:rFonts w:cs="David" w:ascii="David" w:hAnsi="David"/>
          <w:color w:val="000000"/>
          <w:u w:val="single"/>
          <w:rtl w:val="true"/>
        </w:rPr>
        <w:t xml:space="preserve">, </w:t>
      </w:r>
      <w:r>
        <w:rPr>
          <w:rFonts w:ascii="David" w:hAnsi="David"/>
          <w:color w:val="000000"/>
          <w:u w:val="single"/>
          <w:rtl w:val="true"/>
        </w:rPr>
        <w:t>מר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מחמוד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נופל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ממנה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הכרתו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רפואי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וסבל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מכאבים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זמן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שטרם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חלפו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בעיקר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ובכתף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חזרה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אדמתו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מחשש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להרס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היבול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ולהפסדים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כלכליים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התקרית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ליוותה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במחשבותיו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הצליח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להירדם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בלילות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בעקבות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התרחק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מרעייתו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הנישואין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הפך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עצבני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מדוכדך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ומפוחד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u w:val="single"/>
          <w:rtl w:val="true"/>
        </w:rPr>
        <w:t>עדות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מר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ג</w:t>
      </w:r>
      <w:r>
        <w:rPr>
          <w:rFonts w:cs="David" w:ascii="David" w:hAnsi="David"/>
          <w:color w:val="000000"/>
          <w:u w:val="single"/>
          <w:rtl w:val="true"/>
        </w:rPr>
        <w:t>'</w:t>
      </w:r>
      <w:r>
        <w:rPr>
          <w:rFonts w:ascii="David" w:hAnsi="David"/>
          <w:color w:val="000000"/>
          <w:u w:val="single"/>
          <w:rtl w:val="true"/>
        </w:rPr>
        <w:t>ף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בלומהוף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מכיר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וחצי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בזמן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מכיר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ערכי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רגוע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ומכבד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סבור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כיוון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שנגרר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אופייני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משהו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חריג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בהתנהגותו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מתנגד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תוקף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לחתונת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עמו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u w:val="single"/>
          <w:rtl w:val="true"/>
        </w:rPr>
        <w:t>עדות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הרב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מר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נתן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גרינברג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ראש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ביישוב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הכיר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לישיבה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כשנתיים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בהיכרות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אינטנסיבית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ארץ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תפקוד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בתכלית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u w:val="single"/>
          <w:rtl w:val="true"/>
        </w:rPr>
        <w:t>נ</w:t>
      </w:r>
      <w:r>
        <w:rPr>
          <w:rFonts w:cs="David" w:ascii="David" w:hAnsi="David"/>
          <w:color w:val="000000"/>
          <w:u w:val="single"/>
          <w:rtl w:val="true"/>
        </w:rPr>
        <w:t>/</w:t>
      </w:r>
      <w:r>
        <w:rPr>
          <w:rFonts w:cs="David" w:ascii="David" w:hAnsi="David"/>
          <w:color w:val="000000"/>
          <w:u w:val="single"/>
        </w:rPr>
        <w:t>1</w:t>
      </w:r>
      <w:r>
        <w:rPr>
          <w:rFonts w:cs="David" w:ascii="David" w:hAnsi="David"/>
          <w:color w:val="000000"/>
          <w:u w:val="single"/>
          <w:rtl w:val="true"/>
        </w:rPr>
        <w:t xml:space="preserve"> – </w:t>
      </w:r>
      <w:r>
        <w:rPr>
          <w:rFonts w:ascii="David" w:hAnsi="David"/>
          <w:color w:val="000000"/>
          <w:u w:val="single"/>
          <w:rtl w:val="true"/>
        </w:rPr>
        <w:t>מכתב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מאת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הרב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בניה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ינאי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בישיבת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הצטרפו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תלמידי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ממנו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הצטרף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בישיבה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חיובי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ואכפתי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ומאמין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ביכולתו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ולהתחיל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לנהל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u w:val="single"/>
          <w:rtl w:val="true"/>
        </w:rPr>
        <w:t>נ</w:t>
      </w:r>
      <w:r>
        <w:rPr>
          <w:rFonts w:cs="David" w:ascii="David" w:hAnsi="David"/>
          <w:color w:val="000000"/>
          <w:u w:val="single"/>
          <w:rtl w:val="true"/>
        </w:rPr>
        <w:t>/</w:t>
      </w:r>
      <w:r>
        <w:rPr>
          <w:rFonts w:cs="David" w:ascii="David" w:hAnsi="David"/>
          <w:color w:val="000000"/>
          <w:u w:val="single"/>
        </w:rPr>
        <w:t>2</w:t>
      </w:r>
      <w:r>
        <w:rPr>
          <w:rFonts w:cs="David" w:ascii="David" w:hAnsi="David"/>
          <w:color w:val="000000"/>
          <w:u w:val="single"/>
          <w:rtl w:val="true"/>
        </w:rPr>
        <w:t xml:space="preserve"> -  </w:t>
      </w:r>
      <w:r>
        <w:rPr>
          <w:rFonts w:ascii="David" w:hAnsi="David"/>
          <w:color w:val="000000"/>
          <w:u w:val="single"/>
          <w:rtl w:val="true"/>
        </w:rPr>
        <w:t>מכתב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מאת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מר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שמעון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שומרון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מוביל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פרויקט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אחריי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באמונה</w:t>
      </w:r>
      <w:r>
        <w:rPr>
          <w:rFonts w:cs="David" w:ascii="David" w:hAnsi="David"/>
          <w:color w:val="000000"/>
          <w:rtl w:val="true"/>
        </w:rPr>
        <w:t xml:space="preserve">", </w:t>
      </w:r>
      <w:r>
        <w:rPr>
          <w:rFonts w:ascii="David" w:hAnsi="David"/>
          <w:color w:val="000000"/>
          <w:rtl w:val="true"/>
        </w:rPr>
        <w:t>ממנו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מתנדב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בפרויקט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אחריי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באמונה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שהינו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העצמה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לקבוצות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מוגדר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בסיכון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התנדבותו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ומהווה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חינוכית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ומודל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לחיקוי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הנערים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חונך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  <w:u w:val="single"/>
        </w:rPr>
      </w:pPr>
      <w:r>
        <w:rPr>
          <w:rFonts w:ascii="David" w:hAnsi="David"/>
          <w:color w:val="000000"/>
          <w:u w:val="single"/>
          <w:rtl w:val="true"/>
        </w:rPr>
        <w:t>נ</w:t>
      </w:r>
      <w:r>
        <w:rPr>
          <w:rFonts w:cs="David" w:ascii="David" w:hAnsi="David"/>
          <w:color w:val="000000"/>
          <w:u w:val="single"/>
          <w:rtl w:val="true"/>
        </w:rPr>
        <w:t>/</w:t>
      </w:r>
      <w:r>
        <w:rPr>
          <w:rFonts w:cs="David" w:ascii="David" w:hAnsi="David"/>
          <w:color w:val="000000"/>
          <w:u w:val="single"/>
        </w:rPr>
        <w:t>3</w:t>
      </w:r>
      <w:r>
        <w:rPr>
          <w:rFonts w:cs="David" w:ascii="David" w:hAnsi="David"/>
          <w:color w:val="000000"/>
          <w:u w:val="single"/>
          <w:rtl w:val="true"/>
        </w:rPr>
        <w:t xml:space="preserve"> – </w:t>
      </w:r>
      <w:r>
        <w:rPr>
          <w:rFonts w:ascii="David" w:hAnsi="David"/>
          <w:color w:val="000000"/>
          <w:u w:val="single"/>
          <w:rtl w:val="true"/>
        </w:rPr>
        <w:t>הודעת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המתלונן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באישום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השלישי</w:t>
      </w:r>
      <w:r>
        <w:rPr>
          <w:rFonts w:cs="David" w:ascii="David" w:hAnsi="David"/>
          <w:color w:val="000000"/>
          <w:u w:val="single"/>
          <w:rtl w:val="true"/>
        </w:rPr>
        <w:t xml:space="preserve">, </w:t>
      </w:r>
      <w:r>
        <w:rPr>
          <w:rFonts w:ascii="David" w:hAnsi="David"/>
          <w:color w:val="000000"/>
          <w:u w:val="single"/>
          <w:rtl w:val="true"/>
        </w:rPr>
        <w:t>מר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איאד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דרויש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מתייחסת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שנגרם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לרכבו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רכש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ממישהו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4,000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מעריך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5,000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u w:val="single"/>
          <w:rtl w:val="true"/>
        </w:rPr>
        <w:t>נ</w:t>
      </w:r>
      <w:r>
        <w:rPr>
          <w:rFonts w:cs="David" w:ascii="David" w:hAnsi="David"/>
          <w:color w:val="000000"/>
          <w:u w:val="single"/>
          <w:rtl w:val="true"/>
        </w:rPr>
        <w:t>/</w:t>
      </w:r>
      <w:r>
        <w:rPr>
          <w:rFonts w:cs="David" w:ascii="David" w:hAnsi="David"/>
          <w:color w:val="000000"/>
          <w:u w:val="single"/>
        </w:rPr>
        <w:t>4</w:t>
      </w:r>
      <w:r>
        <w:rPr>
          <w:rFonts w:cs="David"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ו</w:t>
      </w:r>
      <w:r>
        <w:rPr>
          <w:rFonts w:cs="David" w:ascii="David" w:hAnsi="David"/>
          <w:color w:val="000000"/>
          <w:u w:val="single"/>
          <w:rtl w:val="true"/>
        </w:rPr>
        <w:t xml:space="preserve">- </w:t>
      </w:r>
      <w:r>
        <w:rPr>
          <w:rFonts w:ascii="David" w:hAnsi="David"/>
          <w:color w:val="000000"/>
          <w:u w:val="single"/>
          <w:rtl w:val="true"/>
        </w:rPr>
        <w:t>נ</w:t>
      </w:r>
      <w:r>
        <w:rPr>
          <w:rFonts w:cs="David" w:ascii="David" w:hAnsi="David"/>
          <w:color w:val="000000"/>
          <w:u w:val="single"/>
          <w:rtl w:val="true"/>
        </w:rPr>
        <w:t>/</w:t>
      </w:r>
      <w:r>
        <w:rPr>
          <w:rFonts w:cs="David" w:ascii="David" w:hAnsi="David"/>
          <w:color w:val="000000"/>
          <w:u w:val="single"/>
        </w:rPr>
        <w:t>6</w:t>
      </w:r>
      <w:r>
        <w:rPr>
          <w:rFonts w:cs="David" w:ascii="David" w:hAnsi="David"/>
          <w:color w:val="000000"/>
          <w:u w:val="single"/>
          <w:rtl w:val="true"/>
        </w:rPr>
        <w:t xml:space="preserve">– </w:t>
      </w:r>
      <w:r>
        <w:rPr>
          <w:rFonts w:ascii="David" w:hAnsi="David"/>
          <w:color w:val="000000"/>
          <w:u w:val="single"/>
          <w:rtl w:val="true"/>
        </w:rPr>
        <w:t>הודעות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המתלונן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באישום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השני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u w:val="single"/>
          <w:rtl w:val="true"/>
        </w:rPr>
        <w:t>נ</w:t>
      </w:r>
      <w:r>
        <w:rPr>
          <w:rFonts w:cs="David" w:ascii="David" w:hAnsi="David"/>
          <w:color w:val="000000"/>
          <w:u w:val="single"/>
          <w:rtl w:val="true"/>
        </w:rPr>
        <w:t>/</w:t>
      </w:r>
      <w:r>
        <w:rPr>
          <w:rFonts w:cs="David" w:ascii="David" w:hAnsi="David"/>
          <w:color w:val="000000"/>
          <w:u w:val="single"/>
        </w:rPr>
        <w:t>5</w:t>
      </w:r>
      <w:r>
        <w:rPr>
          <w:rFonts w:cs="David" w:ascii="David" w:hAnsi="David"/>
          <w:color w:val="000000"/>
          <w:u w:val="single"/>
          <w:rtl w:val="true"/>
        </w:rPr>
        <w:t xml:space="preserve"> – </w:t>
      </w:r>
      <w:r>
        <w:rPr>
          <w:rFonts w:ascii="David" w:hAnsi="David"/>
          <w:color w:val="000000"/>
          <w:u w:val="single"/>
          <w:rtl w:val="true"/>
        </w:rPr>
        <w:t>מזכר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תרגום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של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מסמך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רפואי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בנוגע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למתלונן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באישום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השני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לרפואה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דחופה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סובל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מכאבים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ובפנים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בידיים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וברגל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הימנית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קשיים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בראייה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מכיוון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שנחשף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להתזת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קיימות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יבשות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ושטפי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u w:val="single"/>
          <w:rtl w:val="true"/>
        </w:rPr>
        <w:t>נ</w:t>
      </w:r>
      <w:r>
        <w:rPr>
          <w:rFonts w:cs="David" w:ascii="David" w:hAnsi="David"/>
          <w:color w:val="000000"/>
          <w:u w:val="single"/>
          <w:rtl w:val="true"/>
        </w:rPr>
        <w:t>/</w:t>
      </w:r>
      <w:r>
        <w:rPr>
          <w:rFonts w:cs="David" w:ascii="David" w:hAnsi="David"/>
          <w:color w:val="000000"/>
          <w:u w:val="single"/>
        </w:rPr>
        <w:t>7</w:t>
      </w:r>
      <w:r>
        <w:rPr>
          <w:rFonts w:cs="David"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המלצה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לנאשם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מאת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אלינר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ברוכי</w:t>
      </w:r>
      <w:r>
        <w:rPr>
          <w:rFonts w:cs="David" w:ascii="David" w:hAnsi="David"/>
          <w:color w:val="000000"/>
          <w:u w:val="single"/>
          <w:rtl w:val="true"/>
        </w:rPr>
        <w:t xml:space="preserve">, </w:t>
      </w:r>
      <w:r>
        <w:rPr>
          <w:rFonts w:ascii="David" w:hAnsi="David"/>
          <w:color w:val="000000"/>
          <w:u w:val="single"/>
          <w:rtl w:val="true"/>
        </w:rPr>
        <w:t>מתאם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מגזר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בת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עין</w:t>
      </w:r>
      <w:r>
        <w:rPr>
          <w:rFonts w:cs="David" w:ascii="David" w:hAnsi="David"/>
          <w:color w:val="000000"/>
          <w:u w:val="single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להבחין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שדעותיו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התמתנו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ודרכי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לטובה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טיעוני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הצדדים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רייס</w:t>
      </w:r>
      <w:r>
        <w:rPr>
          <w:rFonts w:cs="David" w:ascii="David" w:hAnsi="David"/>
          <w:color w:val="000000"/>
          <w:rtl w:val="true"/>
        </w:rPr>
        <w:t xml:space="preserve">, 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 </w:t>
      </w:r>
      <w:r>
        <w:rPr>
          <w:rFonts w:ascii="David" w:hAnsi="David"/>
          <w:color w:val="000000"/>
          <w:rtl w:val="true"/>
        </w:rPr>
        <w:t>באישומים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והשלישי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אידאולוגית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שנעשתה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גזעני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באלימות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מזדמן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השלישי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באלימות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עקיפה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והשחתה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מפרשה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רחבה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ריבוי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מעורבים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המכונה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תג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מחיר</w:t>
      </w:r>
      <w:r>
        <w:rPr>
          <w:rFonts w:cs="David" w:ascii="David" w:hAnsi="David"/>
          <w:color w:val="000000"/>
          <w:rtl w:val="true"/>
        </w:rPr>
        <w:t xml:space="preserve">". </w:t>
      </w:r>
      <w:r>
        <w:rPr>
          <w:rFonts w:ascii="David" w:hAnsi="David"/>
          <w:color w:val="000000"/>
          <w:rtl w:val="true"/>
        </w:rPr>
        <w:t>בשלב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פוצלו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מעניינם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ראייתיים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הפלילו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ושותף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החקירות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8-24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ולגבי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השלישי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40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שנפגעו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הגוף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שלמות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הרכוש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ובטחון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שלטון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מופנה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השתייכותו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ומשמעותית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המניע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גזענות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ושנאה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הערבי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נפגעי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אקראיים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שנבחרו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היכרות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מוקדמת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המחוקק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כפל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המבוצעים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וגזענות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במרקם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התכנון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המוקדם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תכנון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קשירת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והצטיידות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באמצעים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בוצעו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בחבורה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ובתעוזה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מגיעים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כפרים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פלסטינים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רעולי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גילויים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מוסיף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אצל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הקורבנות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מבוגר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בשטח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טרף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</w:t>
      </w:r>
      <w:r>
        <w:rPr>
          <w:rFonts w:cs="David" w:ascii="David" w:hAnsi="David"/>
          <w:color w:val="000000"/>
          <w:rtl w:val="true"/>
        </w:rPr>
        <w:t xml:space="preserve">".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מרכזי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ודומיננטי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בתקיפת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המתלונן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השלישי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מעורבותו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הסיוע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השלבים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בסיוע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שנגרם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לגופו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השלישי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לרכושו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להתעלם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מבצעים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לינץ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במתלונן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באכזריות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בפרשה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נקבעו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ונסקרו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פסקי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וביקש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לעניין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הנוספים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קטין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בחקירה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וקידם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הוסיף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מעונשו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מינורי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אמצעים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לפשע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ונדון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לחודשיים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לגזירת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בתחילת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הבוגרים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נטילת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וחזרה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למוטב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מציגים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חיובית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בחשבון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וחסך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מזמנו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מכביד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מנגד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בעבריינות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אידאולוגית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ההרתעה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היחיד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ממושכת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ומשמעותית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ופיצוי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לנפגעים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גבאי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עמדת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מחמירה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במיוחד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בפרשה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מלבד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פסק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פסקי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נקבעו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אושרו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לאמץ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השלישי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40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ריסוס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הכתובת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והצתת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הרכב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המציאות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מתייחסים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בסיוע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בסיוע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הגבוה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בעצם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הנוכחות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האירוע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העיקרי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בסיוע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ולעמוד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בנוסף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לחפיפה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בעונש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התרחשו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השלישי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לחלוף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דמויות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תומכות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סמכותיות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בישובים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התגורר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תסקירי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והעדים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מטעמו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מלמדים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וחסך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מזמנו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חסך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140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תביעה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פלסטינים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בחקירה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מוצלח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האירועים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התרחשו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בהיותו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קבוצת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הבגירים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וליכולתו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בזמן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שחלף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הסתבך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בידיים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נכנס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לישיבה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נישא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ורעייתו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לתינוק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בזמן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הקרוב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מאפשר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להסתפק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כהמלצת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לחרוג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הוגשו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ללקיחת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שפעל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שהפנים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בעצמו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להתנדב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שמטפלת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בנערים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והצליח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מהפך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שליחתו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תשלח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שגוי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להסתפק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 xml:space="preserve">.  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להצהרת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בהצהרה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שנועדה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כהכנה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לתביעה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אזרחית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בעתיד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קיימים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הבדלים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שנכתבו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בהצהרה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המתלונן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המתלונן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רפואי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שבועיים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האירוע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והתברר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יבשות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ושטפי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הסביר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 </w:t>
      </w:r>
      <w:r>
        <w:rPr>
          <w:rFonts w:ascii="David" w:hAnsi="David"/>
          <w:color w:val="000000"/>
          <w:rtl w:val="true"/>
        </w:rPr>
        <w:t>מעוניין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שניתן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דיון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 xml:space="preserve">- </w:t>
      </w:r>
      <w:r>
        <w:rPr>
          <w:bCs/>
          <w:u w:val="single"/>
          <w:rtl w:val="true"/>
          <w:lang w:eastAsia="he-IL"/>
        </w:rPr>
        <w:t>קביעת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מתחם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ההולם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הרלוונטיים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נפרד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אמנם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האירועים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בוצעו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אידיאולוגי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בזמן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קרוב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לשנה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במקום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כפרים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שונים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ובמהות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ברכוש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נקבעו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4910/13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אבר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29.10.14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שניתנה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בעקבותיו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נפרד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ומכאן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הולם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הערכים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החברתיים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ובטחונו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בשלטון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עבריינות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אידיאולוגית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מסוג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זה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המכונה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אף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תג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מחיר</w:t>
      </w:r>
      <w:r>
        <w:rPr>
          <w:rFonts w:cs="David" w:ascii="David" w:hAnsi="David"/>
          <w:b/>
          <w:bCs/>
          <w:color w:val="000000"/>
          <w:rtl w:val="true"/>
        </w:rPr>
        <w:t xml:space="preserve">" </w:t>
      </w:r>
      <w:r>
        <w:rPr>
          <w:rFonts w:ascii="David" w:hAnsi="David"/>
          <w:b/>
          <w:b/>
          <w:bCs/>
          <w:color w:val="000000"/>
          <w:rtl w:val="true"/>
        </w:rPr>
        <w:t>פוגעת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ביסודות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המשטר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הדמוקרטי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בישראל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מלבה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שנאה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ואיבה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בין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קבוצות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שונות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באוכלוסייה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ומערערת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תחושת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הביטחון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בציבור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ברכושו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ובשלמות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גופו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לחומרתן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המבוצעות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גזעני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ראו</w:t>
      </w:r>
      <w:r>
        <w:rPr>
          <w:rFonts w:ascii="David" w:hAnsi="David"/>
          <w:color w:val="000000"/>
          <w:rtl w:val="true"/>
        </w:rPr>
        <w:t xml:space="preserve"> 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3981/14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פלוני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3.8.14</w:t>
      </w:r>
      <w:r>
        <w:rPr>
          <w:rFonts w:cs="David" w:ascii="David" w:hAnsi="David"/>
          <w:color w:val="000000"/>
          <w:rtl w:val="true"/>
        </w:rPr>
        <w:t xml:space="preserve">): </w:t>
      </w:r>
    </w:p>
    <w:p>
      <w:pPr>
        <w:pStyle w:val="Normal"/>
        <w:spacing w:lineRule="auto" w:line="360" w:before="0" w:after="120"/>
        <w:ind w:start="1133" w:end="567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ביטויי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גזענות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כגון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ופחד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ופוגעים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בשלומו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ובטחונו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בארץ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בזויים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בהיבט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המוסרי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נוגדים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המסורת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היהודית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/>
          <w:color w:val="000000"/>
          <w:rtl w:val="true"/>
        </w:rPr>
        <w:t>כבוד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הבריות</w:t>
      </w:r>
      <w:r>
        <w:rPr>
          <w:rFonts w:cs="David" w:ascii="David" w:hAnsi="David"/>
          <w:color w:val="000000"/>
          <w:rtl w:val="true"/>
        </w:rPr>
        <w:t xml:space="preserve">', </w:t>
      </w:r>
      <w:r>
        <w:rPr>
          <w:rFonts w:ascii="David" w:hAnsi="David"/>
          <w:color w:val="000000"/>
          <w:rtl w:val="true"/>
        </w:rPr>
        <w:t>ומכתימים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דמותה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בארץ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ומחוצה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cs="David" w:ascii="David" w:hAnsi="David"/>
          <w:color w:val="000000"/>
          <w:rtl w:val="true"/>
        </w:rPr>
        <w:t>."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ובהתייחס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מבוצעות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גזעני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ראו</w:t>
      </w:r>
      <w:r>
        <w:rPr>
          <w:rFonts w:ascii="David" w:hAnsi="David"/>
          <w:color w:val="000000"/>
          <w:rtl w:val="true"/>
        </w:rPr>
        <w:t xml:space="preserve"> 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8469/99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אסקין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1.1.01</w:t>
      </w:r>
      <w:r>
        <w:rPr>
          <w:rFonts w:cs="David" w:ascii="David" w:hAnsi="David"/>
          <w:color w:val="000000"/>
          <w:rtl w:val="true"/>
        </w:rPr>
        <w:t>):</w:t>
      </w:r>
    </w:p>
    <w:p>
      <w:pPr>
        <w:pStyle w:val="Normal"/>
        <w:spacing w:lineRule="auto" w:line="360" w:before="0" w:after="120"/>
        <w:ind w:start="1133" w:end="567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במציאות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הישראלית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אידאולוגי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המביאות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להעמקת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קבוצות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האוכלוסייה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ערעור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סדרי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המשטר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הדמוקרטי</w:t>
      </w:r>
      <w:r>
        <w:rPr>
          <w:rFonts w:cs="David" w:ascii="David" w:hAnsi="David"/>
          <w:color w:val="000000"/>
          <w:rtl w:val="true"/>
        </w:rPr>
        <w:t xml:space="preserve">... 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החמורות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וטבוע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לנפש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וכמובן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ברכוש</w:t>
      </w:r>
      <w:r>
        <w:rPr>
          <w:rFonts w:cs="David" w:ascii="David" w:hAnsi="David"/>
          <w:color w:val="000000"/>
          <w:rtl w:val="true"/>
        </w:rPr>
        <w:t xml:space="preserve">... </w:t>
      </w:r>
      <w:r>
        <w:rPr>
          <w:rFonts w:ascii="David" w:hAnsi="David"/>
          <w:color w:val="000000"/>
          <w:rtl w:val="true"/>
        </w:rPr>
        <w:t>החומרה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המיוחדת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במניע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האידאולוגי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בבסיס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השידול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להצתה</w:t>
      </w:r>
      <w:r>
        <w:rPr>
          <w:rFonts w:cs="David" w:ascii="David" w:hAnsi="David"/>
          <w:color w:val="000000"/>
          <w:rtl w:val="true"/>
        </w:rPr>
        <w:t xml:space="preserve">... </w:t>
      </w:r>
      <w:r>
        <w:rPr>
          <w:rFonts w:ascii="David" w:hAnsi="David"/>
          <w:color w:val="000000"/>
          <w:rtl w:val="true"/>
        </w:rPr>
        <w:t>מעשים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מסכנים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היסוד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והבסיס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לקיומנו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כחברה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דמוקרטית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לבטא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sz w:val="22"/>
          <w:vertAlign w:val="superscript"/>
          <w:rtl w:val="true"/>
        </w:rPr>
        <w:t>-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תפיסת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עולמו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דעותיו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ואמונתו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המחוקק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מחמירה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גזענות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עוינות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קבוצה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דתית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מוצא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כאמור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כפל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28"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ו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 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בחוק</w:t>
      </w:r>
      <w:r>
        <w:rPr>
          <w:rFonts w:cs="David" w:ascii="David" w:hAnsi="David"/>
          <w:color w:val="000000"/>
          <w:rtl w:val="true"/>
        </w:rPr>
        <w:t xml:space="preserve">).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מידת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הפגיעה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המוגן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בחבורה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תכנון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מוקדם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הצטיידות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באמצעים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הנזקים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שנגרמו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29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לנסיבות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הבאות</w:t>
      </w:r>
      <w:r>
        <w:rPr>
          <w:color w:val="000000"/>
          <w:rtl w:val="true"/>
        </w:rPr>
        <w:t xml:space="preserve">: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התכנון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שקדם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למעשיו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תכנון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מוקדם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הצטיידות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קשרו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ביניהם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ייתקלו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במהלך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הנסיעה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בערבי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יכו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ירדו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ושניים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ליישוב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נריה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והצטיידו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במקלות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חזרו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פעמיהם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לכיוון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הכפר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הפלסטיני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כשהגיעו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והבחינו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במתלונן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היכו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נמרצות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ועזבו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כשהוא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חבול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השלישי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פיגוע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בכפר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ביתילו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בהתאם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הגיעו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לכפר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שהצטיידו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במיכל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נוזל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דליק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ותרסיס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ופניהם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מכוסות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באמצעות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חולצות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מעידות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התכנון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שקדם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color w:val="000000"/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חלקו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היחסי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ומידת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ההשפעה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אחר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בשני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מעורב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בתכנון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ובהשגת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האמצעים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לחלקם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הבחינו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במתלונן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תושב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הכפר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יליד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1955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עסק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חקלאית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יצאו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כשהם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רעולי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ובעודם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מצוידים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במקלות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ובגז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מדמיע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ריססו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מדמיע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בפניו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המתלונן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והכו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באמצעות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המקלות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ברשותם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השלישי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בסיוע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הגיעו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לכפר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והבחינו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לתושב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הכפר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חלק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ריסס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הכתובות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נקמה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זריקות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אבנים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וצורת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מגן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שפך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דליק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מכסה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המנוע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והצית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באמצעות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גפרור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היחסי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השלישי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במובן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חלק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אקטיבי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ההצתה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והשחתת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המקרקעין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שותף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לקשירת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לקח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חלק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בהבאת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האמצעים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בזמן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color w:val="000000"/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הנזק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שהיה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צפוי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להיגרם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b/>
          <w:bCs/>
          <w:color w:val="000000"/>
          <w:rtl w:val="true"/>
        </w:rPr>
        <w:t>;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להכביר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פוטנציאל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הגלום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במעשיו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והאחרים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תקיפתו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המתלונן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60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באמצעות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מקלות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ובחבורה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הייתה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להסתיים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בנזקים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חמורים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פוטנציאל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שבהצתת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השלישי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גדול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המסוכנות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הגלומה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שליחת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תחילתה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בשליטת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המבצע</w:t>
      </w:r>
      <w:r>
        <w:rPr>
          <w:color w:val="000000"/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הנזק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שנגרם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b/>
          <w:bCs/>
          <w:color w:val="000000"/>
          <w:rtl w:val="true"/>
        </w:rPr>
        <w:t xml:space="preserve">; </w:t>
      </w:r>
      <w:r>
        <w:rPr>
          <w:color w:val="000000"/>
          <w:rtl w:val="true"/>
        </w:rPr>
        <w:t>באישום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כתוצאה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מהתקיפה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נגרמו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למתלונן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פצעים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בצלעותיו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ובידו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המתלונן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להימלט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נפשו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נגרמו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במנוסתו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פצעים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בכפות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רגליו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חלקי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ברזל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וזכוכית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נגרמו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למתלונן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נזקים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עקיפים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השלישי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נשרף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מכסה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המנוע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כבד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הרכב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רכש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4,000</w:t>
      </w:r>
      <w:r>
        <w:rPr>
          <w:color w:val="000000"/>
          <w:rtl w:val="true"/>
        </w:rPr>
        <w:t xml:space="preserve"> ₪ </w:t>
      </w:r>
      <w:r>
        <w:rPr>
          <w:color w:val="000000"/>
          <w:rtl w:val="true"/>
        </w:rPr>
        <w:t>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ההצתה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ונגרם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5,000</w:t>
      </w:r>
      <w:r>
        <w:rPr>
          <w:color w:val="000000"/>
          <w:rtl w:val="true"/>
        </w:rPr>
        <w:t xml:space="preserve"> ₪.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הסיבות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שהביאו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לבצע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b/>
          <w:bCs/>
          <w:color w:val="000000"/>
          <w:rtl w:val="true"/>
        </w:rPr>
        <w:t>;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מעשיו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תפיסה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אידיאולוגית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ועמדות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קיצוניות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רצונו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השלישי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נקמה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יידויי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אבנים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תחבורה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המוביל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לישוב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נחליאל</w:t>
      </w:r>
      <w:r>
        <w:rPr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מדיניות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הענישה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במנעד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רחב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כמפורט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/>
      </w:pP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6928/17</w:t>
        </w:r>
      </w:hyperlink>
      <w:r>
        <w:rPr>
          <w:rtl w:val="true"/>
        </w:rPr>
        <w:t xml:space="preserve"> ‏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אסרף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16.8.18</w:t>
      </w:r>
      <w:r>
        <w:rPr>
          <w:rtl w:val="true"/>
        </w:rPr>
        <w:t xml:space="preserve">),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הצתה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השחתת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מקרקעין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קשירת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הכנסייה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5.5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).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/>
      </w:pP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401/16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28.9.16</w:t>
      </w:r>
      <w:r>
        <w:rPr>
          <w:rtl w:val="true"/>
        </w:rPr>
        <w:t xml:space="preserve">),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הצתה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השחתת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מקרקעין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הסתה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לאלימות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פרסום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ותמיכה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-</w:t>
      </w:r>
      <w:r>
        <w:rPr>
          <w:rtl w:val="true"/>
        </w:rPr>
        <w:t>לשוני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).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/>
      </w:pP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5794/15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טויטו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31.1.16</w:t>
      </w:r>
      <w:r>
        <w:rPr>
          <w:rtl w:val="true"/>
        </w:rPr>
        <w:t xml:space="preserve">),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הצתה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והשחתת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מקרקעין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שנה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וחצי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3511/17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ריא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17.9.17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התקבל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ערעור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ייצור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נשק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נשיאה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והובלת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נשק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ניסיון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הצתה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והיזק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בזדון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תכננו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שבוצע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הביטחון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הכינו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תבערה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נכנסו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יישוב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רעולי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התמקמו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לחניון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בקיבוץ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לאירוח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קבוצות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והשליכו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התבערה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האוהל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להציתו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מבקבוקי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התבערה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שהתלקחו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האוהל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חדרו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לתוכו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וגרמו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לשריפת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וציוד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וחצי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נוטה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הנאשמים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הושתו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12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חלף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>).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6204/13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סופר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28.1.14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נדחה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ערעורו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בעבירת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הצתה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תבערה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המתלונן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ממוצא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ערבי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הבקבוק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בחלקה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התחתון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הגדר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התפוצץ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והצית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מהברזנט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דיירי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השריפה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בין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12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בפועל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לבין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36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נידון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12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1133" w:end="0"/>
        <w:jc w:val="both"/>
        <w:rPr/>
      </w:pPr>
      <w:r>
        <w:rPr>
          <w:rFonts w:ascii="David" w:hAnsi="David"/>
          <w:color w:val="000000"/>
          <w:rtl w:val="true"/>
        </w:rPr>
        <w:t>ב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5634/16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שחר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27.10.16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נדחה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ערעורו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בעבירות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תקיפה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מחמירות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ממניע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גזעני</w:t>
      </w:r>
      <w:r>
        <w:rPr>
          <w:rFonts w:cs="David" w:ascii="David" w:hAnsi="David"/>
          <w:b/>
          <w:bCs/>
          <w:color w:val="000000"/>
          <w:rtl w:val="true"/>
        </w:rPr>
        <w:t xml:space="preserve">; </w:t>
      </w:r>
      <w:r>
        <w:rPr>
          <w:rFonts w:ascii="David" w:hAnsi="David"/>
          <w:b/>
          <w:b/>
          <w:bCs/>
          <w:color w:val="000000"/>
          <w:rtl w:val="true"/>
        </w:rPr>
        <w:t>תקיפת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עובד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ציבור</w:t>
      </w:r>
      <w:r>
        <w:rPr>
          <w:rFonts w:cs="David" w:ascii="David" w:hAnsi="David"/>
          <w:b/>
          <w:bCs/>
          <w:color w:val="000000"/>
          <w:rtl w:val="true"/>
        </w:rPr>
        <w:t xml:space="preserve">; </w:t>
      </w:r>
      <w:r>
        <w:rPr>
          <w:rFonts w:ascii="David" w:hAnsi="David"/>
          <w:b/>
          <w:b/>
          <w:bCs/>
          <w:color w:val="000000"/>
          <w:rtl w:val="true"/>
        </w:rPr>
        <w:t>היזק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בזדון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ממניע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גזעני</w:t>
      </w:r>
      <w:r>
        <w:rPr>
          <w:rFonts w:cs="David" w:ascii="David" w:hAnsi="David"/>
          <w:b/>
          <w:bCs/>
          <w:color w:val="000000"/>
          <w:rtl w:val="true"/>
        </w:rPr>
        <w:t xml:space="preserve">; </w:t>
      </w:r>
      <w:r>
        <w:rPr>
          <w:rFonts w:ascii="David" w:hAnsi="David"/>
          <w:b/>
          <w:b/>
          <w:bCs/>
          <w:color w:val="000000"/>
          <w:rtl w:val="true"/>
        </w:rPr>
        <w:t>וניסיון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להיזק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בזדון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ממניע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גזעני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החליטו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לתקוף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המתלונן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ערבי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הצטיידו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מראש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מדמיע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ובקרש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ותצפתו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רעולי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לעברו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התיזו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מדמיע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לעיניו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הכו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הקרש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ונמלטו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יידו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השלושה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משאית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בבעלותו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ונמלטו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השלישי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הצטיידו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וכרתו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ממטע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וגרמו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שנאמד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30,000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ריססו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סלעים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במטע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הכתובות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ערבים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גנבים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-"</w:t>
      </w:r>
      <w:r>
        <w:rPr>
          <w:rFonts w:ascii="David" w:hAnsi="David"/>
          <w:color w:val="000000"/>
          <w:rtl w:val="true"/>
        </w:rPr>
        <w:t>תג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מחיר</w:t>
      </w:r>
      <w:r>
        <w:rPr>
          <w:rFonts w:cs="David" w:ascii="David" w:hAnsi="David"/>
          <w:color w:val="000000"/>
          <w:rtl w:val="true"/>
        </w:rPr>
        <w:t xml:space="preserve">".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שנע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בין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5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12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השלישי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בנפרד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עבודות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שירות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12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צעיר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נידון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10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המערער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כנגד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המחוזי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ניצב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הנמוך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מהנהוג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ודומה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המערער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3183/16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עופרי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8.3.17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נדחה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ערעורו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עבירת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תקיפה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מחמירות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ממניע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גזעני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ועבירת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היזק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בזדון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המערער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ואחיו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המתלוננים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קיללו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ואמרו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יעבדו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מכיוון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ערבים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מצוידים</w:t>
      </w:r>
      <w:r>
        <w:rPr>
          <w:rFonts w:ascii="David" w:hAnsi="David"/>
          <w:color w:val="000000"/>
          <w:rtl w:val="true"/>
        </w:rPr>
        <w:t xml:space="preserve">  </w:t>
      </w:r>
      <w:r>
        <w:rPr>
          <w:rFonts w:ascii="David" w:hAnsi="David"/>
          <w:color w:val="000000"/>
          <w:rtl w:val="true"/>
        </w:rPr>
        <w:t>באלה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מברזל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רדפו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המתלוננים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לתפוס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מכולת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השלושה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נכנסו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בעקבותיו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לחנות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עקרו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השירותים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והלמו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במתלונן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באמצעות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ברזל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ויעה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נגרמו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נפיחות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וכאבים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שמאל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שריטה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וכאבים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בפניו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בהתפרצותם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השלושה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סחורה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ממדפי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החנות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ובתום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הערבי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שנגרם</w:t>
      </w:r>
      <w:r>
        <w:rPr>
          <w:rFonts w:cs="David" w:ascii="David" w:hAnsi="David"/>
          <w:color w:val="000000"/>
          <w:rtl w:val="true"/>
        </w:rPr>
        <w:t xml:space="preserve">". </w:t>
      </w:r>
      <w:r>
        <w:rPr>
          <w:rFonts w:ascii="David" w:hAnsi="David"/>
          <w:color w:val="000000"/>
          <w:rtl w:val="true"/>
        </w:rPr>
        <w:t>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שנע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בין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8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24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לארבעה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ילדים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קשות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נדון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8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3450/16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פלוני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7.8.16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נדחה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ערעורו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מערער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קטין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עבירות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תקיפה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מחמירות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ממניע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גזעני</w:t>
      </w:r>
      <w:r>
        <w:rPr>
          <w:rFonts w:cs="David" w:ascii="David" w:hAnsi="David"/>
          <w:b/>
          <w:bCs/>
          <w:color w:val="000000"/>
          <w:rtl w:val="true"/>
        </w:rPr>
        <w:t xml:space="preserve">; </w:t>
      </w:r>
      <w:r>
        <w:rPr>
          <w:rFonts w:ascii="David" w:hAnsi="David"/>
          <w:b/>
          <w:b/>
          <w:bCs/>
          <w:color w:val="000000"/>
          <w:rtl w:val="true"/>
        </w:rPr>
        <w:t>תקיפת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עובד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ציבור</w:t>
      </w:r>
      <w:r>
        <w:rPr>
          <w:rFonts w:cs="David" w:ascii="David" w:hAnsi="David"/>
          <w:b/>
          <w:bCs/>
          <w:color w:val="000000"/>
          <w:rtl w:val="true"/>
        </w:rPr>
        <w:t xml:space="preserve">; </w:t>
      </w:r>
      <w:r>
        <w:rPr>
          <w:rFonts w:ascii="David" w:hAnsi="David"/>
          <w:b/>
          <w:b/>
          <w:bCs/>
          <w:color w:val="000000"/>
          <w:rtl w:val="true"/>
        </w:rPr>
        <w:t>ניסיון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היזק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בזדון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ממניע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גזעני</w:t>
      </w:r>
      <w:r>
        <w:rPr>
          <w:rFonts w:cs="David" w:ascii="David" w:hAnsi="David"/>
          <w:b/>
          <w:bCs/>
          <w:color w:val="000000"/>
          <w:rtl w:val="true"/>
        </w:rPr>
        <w:t xml:space="preserve">; </w:t>
      </w:r>
      <w:r>
        <w:rPr>
          <w:rFonts w:ascii="David" w:hAnsi="David"/>
          <w:b/>
          <w:b/>
          <w:bCs/>
          <w:color w:val="000000"/>
          <w:rtl w:val="true"/>
        </w:rPr>
        <w:t>היזק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בזדון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ממניע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גזעני</w:t>
      </w:r>
      <w:r>
        <w:rPr>
          <w:rFonts w:cs="David" w:ascii="David" w:hAnsi="David"/>
          <w:b/>
          <w:bCs/>
          <w:color w:val="000000"/>
          <w:rtl w:val="true"/>
        </w:rPr>
        <w:t xml:space="preserve">; </w:t>
      </w:r>
      <w:r>
        <w:rPr>
          <w:rFonts w:ascii="David" w:hAnsi="David"/>
          <w:b/>
          <w:b/>
          <w:bCs/>
          <w:color w:val="000000"/>
          <w:rtl w:val="true"/>
        </w:rPr>
        <w:t>ניסיון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תקיפה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מחמירות</w:t>
      </w:r>
      <w:r>
        <w:rPr>
          <w:rFonts w:cs="David" w:ascii="David" w:hAnsi="David"/>
          <w:b/>
          <w:bCs/>
          <w:color w:val="000000"/>
          <w:rtl w:val="true"/>
        </w:rPr>
        <w:t xml:space="preserve">; </w:t>
      </w:r>
      <w:r>
        <w:rPr>
          <w:rFonts w:ascii="David" w:hAnsi="David"/>
          <w:b/>
          <w:b/>
          <w:bCs/>
          <w:color w:val="000000"/>
          <w:rtl w:val="true"/>
        </w:rPr>
        <w:t>ושיבוש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מהלכי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משפט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בוצעו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לאומני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גזעני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בחמישה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אישומים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תקפו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מתלונן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ערבי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השלושה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רעולי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לתצפת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התיזו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המתלונן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מדמיע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היכו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באגרופים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ובאמצעות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קרש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זיהו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משאית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בבעלות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ערבי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הסתתרו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רעולי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מתצפת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המשאית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השלישי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תצפת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כרתו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השייכים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לערבים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וריססו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כתובות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תג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מחיר</w:t>
      </w:r>
      <w:r>
        <w:rPr>
          <w:rFonts w:cs="David" w:ascii="David" w:hAnsi="David"/>
          <w:color w:val="000000"/>
          <w:rtl w:val="true"/>
        </w:rPr>
        <w:t xml:space="preserve">".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הרביעי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החמישי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קיבל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מידע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מודיעיני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מחייל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בנוגע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ולחבריו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נידון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8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>
          <w:color w:val="000000"/>
        </w:rPr>
      </w:pPr>
      <w:bookmarkStart w:id="9" w:name="casename_body"/>
      <w:r>
        <w:rPr>
          <w:rFonts w:ascii="David" w:hAnsi="David"/>
          <w:color w:val="000000"/>
          <w:rtl w:val="true"/>
        </w:rPr>
        <w:t>ב</w:t>
      </w:r>
      <w:hyperlink r:id="rId38">
        <w:bookmarkEnd w:id="9"/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3657/16</w:t>
        </w:r>
      </w:hyperlink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עוברה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Times New Roman"/>
          <w:color w:val="000000"/>
          <w:rtl w:val="true"/>
        </w:rPr>
        <w:t>‏</w:t>
      </w:r>
      <w:r>
        <w:rPr>
          <w:rFonts w:cs="David" w:ascii="David" w:hAnsi="David"/>
          <w:color w:val="000000"/>
        </w:rPr>
        <w:t>25.1.2017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נדחה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ערעורו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חבלה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במזיד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ברכב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מתוך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מניע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עוינות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כלפי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באמצעות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סימנים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צלב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קרס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שסבר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מוצאם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יהודי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נידון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8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>
          <w:color w:val="000000"/>
        </w:rPr>
      </w:pPr>
      <w:r>
        <w:rPr>
          <w:color w:val="000000"/>
          <w:rtl w:val="true"/>
        </w:rPr>
        <w:t>ב</w:t>
      </w:r>
      <w:hyperlink r:id="rId3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8718-02-14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ריכטר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4.2.15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קשירת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קשר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לפשע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ממניע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גזעני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הצתה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בצוותא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והשחתת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מקרקעין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בצוותא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מתוך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מניע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גזעני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וכן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הפרת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הוראה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חוקית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רעולי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ומצוידים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בחומר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דליק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לכפר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ערבי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משאית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ומכונית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צעיר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נעדר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בתנאים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מגבילים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מתחם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עונש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שנע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</w:t>
      </w:r>
      <w:r>
        <w:rPr>
          <w:b/>
          <w:bCs/>
          <w:color w:val="000000"/>
          <w:rtl w:val="true"/>
        </w:rPr>
        <w:t xml:space="preserve">- </w:t>
      </w:r>
      <w:r>
        <w:rPr>
          <w:b/>
          <w:bCs/>
          <w:color w:val="000000"/>
        </w:rPr>
        <w:t>50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בפועל</w:t>
      </w:r>
      <w:r>
        <w:rPr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נידון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</w:t>
      </w:r>
      <w:r>
        <w:rPr>
          <w:b/>
          <w:bCs/>
          <w:color w:val="000000"/>
          <w:rtl w:val="true"/>
        </w:rPr>
        <w:t xml:space="preserve">- </w:t>
      </w:r>
      <w:r>
        <w:rPr>
          <w:b/>
          <w:bCs/>
          <w:color w:val="000000"/>
        </w:rPr>
        <w:t>3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שנות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לוד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45514-04-16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פלוני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29.3.18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פס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פלוני</w:t>
      </w:r>
      <w:r>
        <w:rPr>
          <w:rFonts w:cs="David" w:ascii="David" w:hAnsi="David"/>
          <w:color w:val="000000"/>
          <w:rtl w:val="true"/>
        </w:rPr>
        <w:t xml:space="preserve">"), </w:t>
      </w:r>
      <w:r>
        <w:rPr>
          <w:rFonts w:ascii="David" w:hAnsi="David"/>
          <w:color w:val="000000"/>
          <w:rtl w:val="true"/>
        </w:rPr>
        <w:t>במסגרתו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השופטת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מרשק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מרום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המעורבים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הנוספים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בפרשה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u w:val="single"/>
          <w:rtl w:val="true"/>
        </w:rPr>
        <w:t>יודגש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כי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מדובר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בפסק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דין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אשר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ניתן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בדלתיים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סגורות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וערעור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ההגנה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עליו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עדיין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תלוי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ועומד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פס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בעיקר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לאישומים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אישומי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מראה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לאישומים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בעניינו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נקבע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מתחם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עונש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הולם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שנע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בין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cs="David" w:ascii="David" w:hAnsi="David"/>
          <w:color w:val="000000"/>
          <w:u w:val="single"/>
        </w:rPr>
        <w:t>8</w:t>
      </w:r>
      <w:r>
        <w:rPr>
          <w:rFonts w:cs="David"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ל</w:t>
      </w:r>
      <w:r>
        <w:rPr>
          <w:rFonts w:cs="David" w:ascii="David" w:hAnsi="David"/>
          <w:color w:val="000000"/>
          <w:u w:val="single"/>
          <w:rtl w:val="true"/>
        </w:rPr>
        <w:t xml:space="preserve">- </w:t>
      </w:r>
      <w:r>
        <w:rPr>
          <w:rFonts w:cs="David" w:ascii="David" w:hAnsi="David"/>
          <w:color w:val="000000"/>
          <w:u w:val="single"/>
        </w:rPr>
        <w:t>24</w:t>
      </w:r>
      <w:r>
        <w:rPr>
          <w:rFonts w:cs="David"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חודשי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קטין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כבן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ושלושה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כמבצע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עיקרי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מתחם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עונש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הולם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שנע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בין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cs="David" w:ascii="David" w:hAnsi="David"/>
          <w:color w:val="000000"/>
          <w:u w:val="single"/>
        </w:rPr>
        <w:t>12</w:t>
      </w:r>
      <w:r>
        <w:rPr>
          <w:rFonts w:cs="David"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ל</w:t>
      </w:r>
      <w:r>
        <w:rPr>
          <w:rFonts w:cs="David" w:ascii="David" w:hAnsi="David"/>
          <w:color w:val="000000"/>
          <w:u w:val="single"/>
          <w:rtl w:val="true"/>
        </w:rPr>
        <w:t xml:space="preserve">- </w:t>
      </w:r>
      <w:r>
        <w:rPr>
          <w:rFonts w:cs="David" w:ascii="David" w:hAnsi="David"/>
          <w:color w:val="000000"/>
          <w:u w:val="single"/>
        </w:rPr>
        <w:t>40</w:t>
      </w:r>
      <w:r>
        <w:rPr>
          <w:rFonts w:cs="David"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חודשי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מאסר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במובחן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כמסייע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והשחתת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מקרקעין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בקשירת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עיקרי</w:t>
      </w:r>
      <w:r>
        <w:rPr>
          <w:rFonts w:cs="David" w:ascii="David" w:hAnsi="David"/>
          <w:color w:val="000000"/>
          <w:rtl w:val="true"/>
        </w:rPr>
        <w:t>).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42"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rtl w:val="true"/>
          </w:rPr>
          <w:t>יג</w:t>
        </w:r>
        <w:r>
          <w:rPr>
            <w:rStyle w:val="Hyperlink"/>
            <w:rFonts w:cs="David" w:ascii="David" w:hAnsi="David"/>
            <w:color w:val="0000FF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8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ועד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24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שלישי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8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ועד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24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השיקול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השלישי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ובגיל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עליהם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נרתם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קבוצת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צעירים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העוסקת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להתמודדות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ומשבר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גיבוש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זיהוי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והתבוננות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דפוסים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מעכבים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ומקדמים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מחודש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דצמבר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2018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לקבוצה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ולהשתתף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המפגשים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ובסיומה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המנחים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שתחילה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בחשיפה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להעמיק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ולבחון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בחירותיו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שהתקדמו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המפגשים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הצליח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להתבונן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בדפוסיו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הבעייתיים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הובילו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למעורבותו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מכישוריו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המשתתפים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וחיובית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בעמדות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בעיתיות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בגיבוש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זהותו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נתתי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לעדויות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האופי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בעיקרו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בנטילת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וחזרה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למוטב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מאמצים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למוטב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בגדרו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לחרוג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בעבריינות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אידיאולוגית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לאומני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ככלל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להעדיף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וההרתעה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ברון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4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5634/16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שחר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27.10.16</w:t>
      </w:r>
      <w:r>
        <w:rPr>
          <w:rFonts w:cs="David" w:ascii="David" w:hAnsi="David"/>
          <w:color w:val="000000"/>
          <w:rtl w:val="true"/>
        </w:rPr>
        <w:t xml:space="preserve">): </w:t>
      </w:r>
    </w:p>
    <w:p>
      <w:pPr>
        <w:pStyle w:val="Normal"/>
        <w:spacing w:lineRule="auto" w:line="360" w:before="0" w:after="120"/>
        <w:ind w:start="1133" w:end="567"/>
        <w:jc w:val="both"/>
        <w:rPr/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המחוזי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לחרוג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פסק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עסקינן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לאומני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המסכנות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מרקם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דמוקרטית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נדרשת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הרתעה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בקטינים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1133" w:end="567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...</w:t>
      </w:r>
    </w:p>
    <w:p>
      <w:pPr>
        <w:pStyle w:val="Normal"/>
        <w:spacing w:lineRule="auto" w:line="360" w:before="0" w:after="120"/>
        <w:ind w:start="1133" w:end="567"/>
        <w:jc w:val="both"/>
        <w:rPr/>
      </w:pPr>
      <w:r>
        <w:rPr>
          <w:rFonts w:ascii="David" w:hAnsi="David"/>
          <w:color w:val="000000"/>
          <w:rtl w:val="true"/>
        </w:rPr>
        <w:t>החמור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שהכוח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המניע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מאחורי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עיוורת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המשמשת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כהצדקה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השתייכותם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אוכלוסייה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המחוזי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בהינתן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להימנע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מהשתת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האמור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לעיל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הצדקה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לסטות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ובפרט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הצדקה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להימנע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בכליאה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האמורים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בגדרי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גזירת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לנאשם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בגזירת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בגדרי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שאינן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44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הבאות</w:t>
      </w:r>
      <w:r>
        <w:rPr>
          <w:color w:val="000000"/>
          <w:rtl w:val="true"/>
        </w:rPr>
        <w:t xml:space="preserve">: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גילו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1996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b/>
          <w:b/>
          <w:bCs/>
          <w:rtl w:val="true"/>
        </w:rPr>
        <w:t>נטילת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וחזרתו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למוטב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מאמציו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למוטב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. </w:t>
      </w:r>
      <w:r>
        <w:rPr>
          <w:rtl w:val="true"/>
        </w:rPr>
        <w:t>מנחי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מכישוריו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המשתתפים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אחריי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באמונה</w:t>
      </w:r>
      <w:r>
        <w:rPr>
          <w:rtl w:val="true"/>
        </w:rPr>
        <w:t xml:space="preserve">"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חונך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>
          <w:b/>
          <w:bCs/>
        </w:rPr>
      </w:pPr>
      <w:r>
        <w:rPr>
          <w:b/>
          <w:b/>
          <w:bCs/>
          <w:rtl w:val="true"/>
        </w:rPr>
        <w:t>חלוף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;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30.6.15</w:t>
      </w:r>
      <w:r>
        <w:rPr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29.7.14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שבמהלכו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העדרו</w:t>
      </w:r>
      <w:r>
        <w:rPr>
          <w:rtl w:val="true"/>
        </w:rPr>
        <w:t xml:space="preserve">;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הרתעת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בגדרו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לחומרתן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וכיעורן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המבוצעות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גזעני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פוגעים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במרקם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במדינה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color w:val="000000"/>
          <w:rtl w:val="true"/>
        </w:rPr>
        <w:t>כפי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המבוצעות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אידיאולוגי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לאומני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להעביר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הרתעתי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משמעי</w:t>
      </w:r>
      <w:r>
        <w:rPr>
          <w:rFonts w:cs="Century" w:ascii="Century" w:hAnsi="Century"/>
          <w:color w:val="000000"/>
          <w:rtl w:val="true"/>
        </w:rPr>
        <w:t xml:space="preserve">, </w:t>
      </w:r>
      <w:r>
        <w:rPr>
          <w:rFonts w:ascii="Century" w:hAnsi="Century" w:cs="Century"/>
          <w:color w:val="000000"/>
          <w:rtl w:val="true"/>
        </w:rPr>
        <w:t>שבו</w:t>
      </w:r>
      <w:r>
        <w:rPr>
          <w:rFonts w:ascii="Century" w:hAnsi="Century" w:cs="Century"/>
          <w:color w:val="000000"/>
          <w:rtl w:val="true"/>
        </w:rPr>
        <w:t xml:space="preserve"> </w:t>
      </w:r>
      <w:r>
        <w:rPr>
          <w:rFonts w:ascii="Century" w:hAnsi="Century" w:cs="Century"/>
          <w:color w:val="000000"/>
          <w:rtl w:val="true"/>
        </w:rPr>
        <w:t>נדחים</w:t>
      </w:r>
      <w:r>
        <w:rPr>
          <w:rFonts w:ascii="Century" w:hAnsi="Century" w:cs="Century"/>
          <w:color w:val="000000"/>
          <w:rtl w:val="true"/>
        </w:rPr>
        <w:t xml:space="preserve"> </w:t>
      </w:r>
      <w:r>
        <w:rPr>
          <w:rFonts w:ascii="Century" w:hAnsi="Century" w:cs="Century"/>
          <w:color w:val="000000"/>
          <w:rtl w:val="true"/>
        </w:rPr>
        <w:t>שיקולי</w:t>
      </w:r>
      <w:r>
        <w:rPr>
          <w:rFonts w:ascii="Century" w:hAnsi="Century" w:cs="Century"/>
          <w:color w:val="000000"/>
          <w:rtl w:val="true"/>
        </w:rPr>
        <w:t xml:space="preserve"> </w:t>
      </w:r>
      <w:r>
        <w:rPr>
          <w:rFonts w:ascii="Century" w:hAnsi="Century" w:cs="Century"/>
          <w:color w:val="000000"/>
          <w:rtl w:val="true"/>
        </w:rPr>
        <w:t>ענישה</w:t>
      </w:r>
      <w:r>
        <w:rPr>
          <w:rFonts w:ascii="Century" w:hAnsi="Century" w:cs="Century"/>
          <w:color w:val="000000"/>
          <w:rtl w:val="true"/>
        </w:rPr>
        <w:t xml:space="preserve"> </w:t>
      </w:r>
      <w:r>
        <w:rPr>
          <w:rFonts w:ascii="Century" w:hAnsi="Century" w:cs="Century"/>
          <w:color w:val="000000"/>
          <w:rtl w:val="true"/>
        </w:rPr>
        <w:t>אחרים</w:t>
      </w:r>
      <w:r>
        <w:rPr>
          <w:rFonts w:ascii="Century" w:hAnsi="Century" w:cs="Century"/>
          <w:color w:val="000000"/>
          <w:rtl w:val="true"/>
        </w:rPr>
        <w:t xml:space="preserve"> </w:t>
      </w:r>
      <w:r>
        <w:rPr>
          <w:rFonts w:ascii="Century" w:hAnsi="Century" w:cs="Century"/>
          <w:color w:val="000000"/>
          <w:rtl w:val="true"/>
        </w:rPr>
        <w:t>מפני</w:t>
      </w:r>
      <w:r>
        <w:rPr>
          <w:rFonts w:ascii="Century" w:hAnsi="Century" w:cs="Century"/>
          <w:color w:val="000000"/>
          <w:rtl w:val="true"/>
        </w:rPr>
        <w:t xml:space="preserve"> </w:t>
      </w:r>
      <w:r>
        <w:rPr>
          <w:rFonts w:ascii="Century" w:hAnsi="Century" w:cs="Century"/>
          <w:color w:val="000000"/>
          <w:rtl w:val="true"/>
        </w:rPr>
        <w:t>שיקול</w:t>
      </w:r>
      <w:r>
        <w:rPr>
          <w:rFonts w:ascii="Century" w:hAnsi="Century" w:cs="Century"/>
          <w:color w:val="000000"/>
          <w:rtl w:val="true"/>
        </w:rPr>
        <w:t xml:space="preserve"> </w:t>
      </w:r>
      <w:r>
        <w:rPr>
          <w:rFonts w:ascii="Century" w:hAnsi="Century" w:cs="Century"/>
          <w:color w:val="000000"/>
          <w:rtl w:val="true"/>
        </w:rPr>
        <w:t>ההרתעה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6928/17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אסרף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16.8.18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בפסקה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34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ב</w:t>
      </w:r>
      <w:hyperlink r:id="rId4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2460/15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בארין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בפסקה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103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cs="David" w:ascii="David" w:hAnsi="David"/>
          <w:color w:val="000000"/>
        </w:rPr>
        <w:t>4.5.16</w:t>
      </w:r>
      <w:r>
        <w:rPr>
          <w:rFonts w:cs="David" w:ascii="David" w:hAnsi="David"/>
          <w:color w:val="000000"/>
          <w:rtl w:val="true"/>
        </w:rPr>
        <w:t xml:space="preserve">)).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הפיצוי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נתתי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לנזקים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שנגרמו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למתלונן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מהצהרת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הנפגע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התייחסות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להסתייגויות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לנזקים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שנגרמו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למתלונן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השלישי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מהודעתו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>/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כמו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בפרשה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הוטלו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פיצויים</w:t>
      </w:r>
      <w:r>
        <w:rPr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באיזון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לרבות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הטיעון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האירועים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ובגדרי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שנקבעו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ירוצה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מאחורי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סורג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ובריח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להסתפק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כהמלצת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ופיצוי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למתלוננים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אשר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הנני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גוזר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את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העונשים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39" w:start="1287" w:end="0"/>
        <w:jc w:val="both"/>
        <w:rPr/>
      </w:pP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18.4.16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19.4.16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1287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יתייצב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לריצוי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מאסרו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בבית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הסוהר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הדרים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ביום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cs="David" w:ascii="David" w:hAnsi="David"/>
          <w:color w:val="000000"/>
          <w:lang w:eastAsia="he-IL"/>
        </w:rPr>
        <w:t>1.1.19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עד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השעה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cs="David" w:ascii="David" w:hAnsi="David"/>
          <w:color w:val="000000"/>
          <w:lang w:eastAsia="he-IL"/>
        </w:rPr>
        <w:t>10:00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כשברשותו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תעודת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זהות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דרכון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על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לתאם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הכניסה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למאסר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כולל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האפשרות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למיון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מוקדם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עם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ענף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אבחון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ומיון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שב</w:t>
      </w:r>
      <w:r>
        <w:rPr>
          <w:rFonts w:cs="David" w:ascii="David" w:hAnsi="David"/>
          <w:color w:val="000000"/>
          <w:rtl w:val="true"/>
          <w:lang w:eastAsia="he-IL"/>
        </w:rPr>
        <w:t>"</w:t>
      </w:r>
      <w:r>
        <w:rPr>
          <w:rFonts w:ascii="David" w:hAnsi="David"/>
          <w:color w:val="000000"/>
          <w:rtl w:val="true"/>
          <w:lang w:eastAsia="he-IL"/>
        </w:rPr>
        <w:t>ס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טלפון</w:t>
      </w:r>
      <w:r>
        <w:rPr>
          <w:rFonts w:cs="David" w:ascii="David" w:hAnsi="David"/>
          <w:color w:val="000000"/>
          <w:rtl w:val="true"/>
          <w:lang w:eastAsia="he-IL"/>
        </w:rPr>
        <w:t xml:space="preserve">: </w:t>
      </w:r>
      <w:r>
        <w:rPr>
          <w:rFonts w:cs="David" w:ascii="David" w:hAnsi="David"/>
          <w:color w:val="000000"/>
          <w:lang w:eastAsia="he-IL"/>
        </w:rPr>
        <w:t>08-9787377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cs="David" w:ascii="David" w:hAnsi="David"/>
          <w:color w:val="000000"/>
          <w:lang w:eastAsia="he-IL"/>
        </w:rPr>
        <w:t>08-9787336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b/>
          <w:b/>
          <w:bCs/>
          <w:rtl w:val="true"/>
          <w:lang w:eastAsia="he-IL"/>
        </w:rPr>
        <w:t>פיצוי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בסך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14,000</w:t>
      </w:r>
      <w:r>
        <w:rPr>
          <w:b/>
          <w:bCs/>
          <w:rtl w:val="true"/>
          <w:lang w:eastAsia="he-IL"/>
        </w:rPr>
        <w:t xml:space="preserve"> 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יחולק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10,000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4,000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למתלונן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השלישי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יופקד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במזכירות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1.2.19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ויועבר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למתלוננים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שתמסור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tl w:val="true"/>
          <w:lang w:eastAsia="he-IL"/>
        </w:rPr>
        <w:t xml:space="preserve">. 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שיופקד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מהסכום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יחולק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היחסי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כמפורט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 w:before="0" w:after="120"/>
        <w:ind w:start="720" w:end="0"/>
        <w:jc w:val="start"/>
        <w:rPr/>
      </w:pPr>
      <w:r>
        <w:rPr>
          <w:rFonts w:ascii="David" w:hAnsi="David"/>
          <w:color w:val="000000"/>
          <w:rtl w:val="true"/>
          <w:lang w:eastAsia="he-IL"/>
        </w:rPr>
        <w:t>מזכירות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המשפט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תמציא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העתק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גזר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דין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לשירות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המבחן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firstLine="36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ind w:end="0"/>
        <w:jc w:val="start"/>
        <w:rPr>
          <w:rFonts w:cs="Times New Roman"/>
          <w:lang w:eastAsia="he-IL"/>
        </w:rPr>
      </w:pPr>
      <w:r>
        <w:rPr>
          <w:rFonts w:cs="Times New Roman"/>
          <w:rtl w:val="true"/>
          <w:lang w:eastAsia="he-IL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8"/>
      <w:footerReference w:type="default" r:id="rId4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45561-04-17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מיכאל קפלן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360"/>
      </w:pPr>
      <w:rPr>
        <w:b w:val="false"/>
        <w:bCs w:val="false"/>
        <w:rFonts w:cs="David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rFonts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David"/>
      <w:b w:val="false"/>
      <w:bCs w:val="false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ascii="Times New (W1);Times New Roman" w:hAnsi="Times New (W1);Times New Roman" w:cs="Times New (W1);Times New Roman"/>
      <w:color w:val="000000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David"/>
      <w:b w:val="false"/>
      <w:bCs w:val="false"/>
    </w:rPr>
  </w:style>
  <w:style w:type="character" w:styleId="WW8Num4z3">
    <w:name w:val="WW8Num4z3"/>
    <w:qFormat/>
    <w:rPr>
      <w:rFonts w:cs="Times New Roman"/>
    </w:rPr>
  </w:style>
  <w:style w:type="character" w:styleId="WW8Num5z0">
    <w:name w:val="WW8Num5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0" w:start="0" w:end="360"/>
    </w:pPr>
    <w:rPr/>
  </w:style>
  <w:style w:type="paragraph" w:styleId="Style12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3">
    <w:name w:val="ממוספר"/>
    <w:basedOn w:val="Normal"/>
    <w:qFormat/>
    <w:pPr>
      <w:numPr>
        <w:ilvl w:val="0"/>
        <w:numId w:val="4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144f" TargetMode="External"/><Relationship Id="rId6" Type="http://schemas.openxmlformats.org/officeDocument/2006/relationships/hyperlink" Target="http://www.nevo.co.il/law/70301/144f.a" TargetMode="External"/><Relationship Id="rId7" Type="http://schemas.openxmlformats.org/officeDocument/2006/relationships/hyperlink" Target="http://www.nevo.co.il/law/70301/196" TargetMode="External"/><Relationship Id="rId8" Type="http://schemas.openxmlformats.org/officeDocument/2006/relationships/hyperlink" Target="http://www.nevo.co.il/law/70301/379" TargetMode="External"/><Relationship Id="rId9" Type="http://schemas.openxmlformats.org/officeDocument/2006/relationships/hyperlink" Target="http://www.nevo.co.il/law/70301/382" TargetMode="External"/><Relationship Id="rId10" Type="http://schemas.openxmlformats.org/officeDocument/2006/relationships/hyperlink" Target="http://www.nevo.co.il/law/70301/40ja" TargetMode="External"/><Relationship Id="rId11" Type="http://schemas.openxmlformats.org/officeDocument/2006/relationships/hyperlink" Target="http://www.nevo.co.il/law/70301/40jc" TargetMode="External"/><Relationship Id="rId12" Type="http://schemas.openxmlformats.org/officeDocument/2006/relationships/hyperlink" Target="http://www.nevo.co.il/law/70301/448.a" TargetMode="External"/><Relationship Id="rId13" Type="http://schemas.openxmlformats.org/officeDocument/2006/relationships/hyperlink" Target="http://www.nevo.co.il/law/70301/499" TargetMode="External"/><Relationship Id="rId14" Type="http://schemas.openxmlformats.org/officeDocument/2006/relationships/hyperlink" Target="http://www.nevo.co.il/law/70301/379" TargetMode="External"/><Relationship Id="rId15" Type="http://schemas.openxmlformats.org/officeDocument/2006/relationships/hyperlink" Target="http://www.nevo.co.il/law/70301/382" TargetMode="External"/><Relationship Id="rId16" Type="http://schemas.openxmlformats.org/officeDocument/2006/relationships/hyperlink" Target="http://www.nevo.co.il/law/70301/144f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99" TargetMode="External"/><Relationship Id="rId19" Type="http://schemas.openxmlformats.org/officeDocument/2006/relationships/hyperlink" Target="http://www.nevo.co.il/law/70301/448.a" TargetMode="External"/><Relationship Id="rId20" Type="http://schemas.openxmlformats.org/officeDocument/2006/relationships/hyperlink" Target="http://www.nevo.co.il/law/70301/31" TargetMode="External"/><Relationship Id="rId21" Type="http://schemas.openxmlformats.org/officeDocument/2006/relationships/hyperlink" Target="http://www.nevo.co.il/law/70301/196" TargetMode="External"/><Relationship Id="rId22" Type="http://schemas.openxmlformats.org/officeDocument/2006/relationships/hyperlink" Target="http://www.nevo.co.il/law/70301/144f" TargetMode="External"/><Relationship Id="rId23" Type="http://schemas.openxmlformats.org/officeDocument/2006/relationships/hyperlink" Target="http://www.nevo.co.il/law/70301/31" TargetMode="External"/><Relationship Id="rId24" Type="http://schemas.openxmlformats.org/officeDocument/2006/relationships/hyperlink" Target="http://www.nevo.co.il/law/70301/499" TargetMode="External"/><Relationship Id="rId25" Type="http://schemas.openxmlformats.org/officeDocument/2006/relationships/hyperlink" Target="http://www.nevo.co.il/case/13093721" TargetMode="External"/><Relationship Id="rId26" Type="http://schemas.openxmlformats.org/officeDocument/2006/relationships/hyperlink" Target="http://www.nevo.co.il/case/16983240" TargetMode="External"/><Relationship Id="rId27" Type="http://schemas.openxmlformats.org/officeDocument/2006/relationships/hyperlink" Target="http://www.nevo.co.il/case/6130237" TargetMode="External"/><Relationship Id="rId28" Type="http://schemas.openxmlformats.org/officeDocument/2006/relationships/hyperlink" Target="http://www.nevo.co.il/law/70301/144f.a" TargetMode="External"/><Relationship Id="rId29" Type="http://schemas.openxmlformats.org/officeDocument/2006/relationships/hyperlink" Target="http://www.nevo.co.il/law/70301/40i" TargetMode="External"/><Relationship Id="rId30" Type="http://schemas.openxmlformats.org/officeDocument/2006/relationships/hyperlink" Target="http://www.nevo.co.il/case/23763436" TargetMode="External"/><Relationship Id="rId31" Type="http://schemas.openxmlformats.org/officeDocument/2006/relationships/hyperlink" Target="http://www.nevo.co.il/case/20911367" TargetMode="External"/><Relationship Id="rId32" Type="http://schemas.openxmlformats.org/officeDocument/2006/relationships/hyperlink" Target="http://www.nevo.co.il/case/20923902" TargetMode="External"/><Relationship Id="rId33" Type="http://schemas.openxmlformats.org/officeDocument/2006/relationships/hyperlink" Target="http://www.nevo.co.il/case/22576642" TargetMode="External"/><Relationship Id="rId34" Type="http://schemas.openxmlformats.org/officeDocument/2006/relationships/hyperlink" Target="http://www.nevo.co.il/case/7998009" TargetMode="External"/><Relationship Id="rId35" Type="http://schemas.openxmlformats.org/officeDocument/2006/relationships/hyperlink" Target="http://www.nevo.co.il/case/21476409" TargetMode="External"/><Relationship Id="rId36" Type="http://schemas.openxmlformats.org/officeDocument/2006/relationships/hyperlink" Target="http://www.nevo.co.il/case/21473281" TargetMode="External"/><Relationship Id="rId37" Type="http://schemas.openxmlformats.org/officeDocument/2006/relationships/hyperlink" Target="http://www.nevo.co.il/case/21477553" TargetMode="External"/><Relationship Id="rId38" Type="http://schemas.openxmlformats.org/officeDocument/2006/relationships/hyperlink" Target="http://www.nevo.co.il/case/21473859" TargetMode="External"/><Relationship Id="rId39" Type="http://schemas.openxmlformats.org/officeDocument/2006/relationships/hyperlink" Target="http://www.nevo.co.il/case/11295606" TargetMode="External"/><Relationship Id="rId40" Type="http://schemas.openxmlformats.org/officeDocument/2006/relationships/hyperlink" Target="http://www.nevo.co.il/case/21321576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40jc" TargetMode="External"/><Relationship Id="rId43" Type="http://schemas.openxmlformats.org/officeDocument/2006/relationships/hyperlink" Target="http://www.nevo.co.il/case/21476409" TargetMode="External"/><Relationship Id="rId44" Type="http://schemas.openxmlformats.org/officeDocument/2006/relationships/hyperlink" Target="http://www.nevo.co.il/law/70301/40ja" TargetMode="External"/><Relationship Id="rId45" Type="http://schemas.openxmlformats.org/officeDocument/2006/relationships/hyperlink" Target="http://www.nevo.co.il/case/23763436" TargetMode="External"/><Relationship Id="rId46" Type="http://schemas.openxmlformats.org/officeDocument/2006/relationships/hyperlink" Target="http://www.nevo.co.il/case/21008663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2019-04-15T14:01:00Z</dcterms:created>
  <dc:creator> </dc:creator>
  <dc:description/>
  <cp:keywords/>
  <dc:language>en-IL</dc:language>
  <cp:lastModifiedBy>run</cp:lastModifiedBy>
  <dcterms:modified xsi:type="dcterms:W3CDTF">2019-04-15T14:01:00Z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מיכאל קפלן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13093721;16983240;6130237;23763436:2;20911367;20923902;22576642;7998009;21476409:2;21473281;21477553;21473859;11295606;21321576;21008663</vt:lpwstr>
  </property>
  <property fmtid="{D5CDD505-2E9C-101B-9397-08002B2CF9AE}" pid="9" name="CITY">
    <vt:lpwstr>מרכז</vt:lpwstr>
  </property>
  <property fmtid="{D5CDD505-2E9C-101B-9397-08002B2CF9AE}" pid="10" name="DATE">
    <vt:lpwstr>20181112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עמי קובו</vt:lpwstr>
  </property>
  <property fmtid="{D5CDD505-2E9C-101B-9397-08002B2CF9AE}" pid="14" name="LAWLISTTMP1">
    <vt:lpwstr>70301/379;382;144f:2;499:2;448.a;031:2;196;144f.a;040i;40jc;40ja</vt:lpwstr>
  </property>
  <property fmtid="{D5CDD505-2E9C-101B-9397-08002B2CF9AE}" pid="15" name="LAWYER">
    <vt:lpwstr>רועי רייס;גיל גבאי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45561</vt:lpwstr>
  </property>
  <property fmtid="{D5CDD505-2E9C-101B-9397-08002B2CF9AE}" pid="22" name="NEWPARTB">
    <vt:lpwstr>04</vt:lpwstr>
  </property>
  <property fmtid="{D5CDD505-2E9C-101B-9397-08002B2CF9AE}" pid="23" name="NEWPARTC">
    <vt:lpwstr>17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390020181112</vt:lpwstr>
  </property>
  <property fmtid="{D5CDD505-2E9C-101B-9397-08002B2CF9AE}" pid="34" name="TYPE_N_DATE">
    <vt:lpwstr>39020181112</vt:lpwstr>
  </property>
  <property fmtid="{D5CDD505-2E9C-101B-9397-08002B2CF9AE}" pid="35" name="VOLUME">
    <vt:lpwstr/>
  </property>
  <property fmtid="{D5CDD505-2E9C-101B-9397-08002B2CF9AE}" pid="36" name="WORDNUMPAGES">
    <vt:lpwstr>15</vt:lpwstr>
  </property>
</Properties>
</file>