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45599-05-11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עבוד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/>
                <w:bCs/>
                <w:rtl w:val="true"/>
              </w:rPr>
              <w:t xml:space="preserve"> עודד מודריק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עבוד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עבוד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עבוד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זוהר דולב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נועם שביט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מרדכי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עופרי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גואד נאטור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b w:val="false"/>
          <w:b w:val="false"/>
          <w:bCs w:val="false"/>
          <w:u w:val="none"/>
          <w:rtl w:val="true"/>
        </w:rPr>
        <w:t xml:space="preserve"> בן נאסרי עבוד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חמודי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אחמד</w:t>
      </w:r>
      <w:r>
        <w:rPr>
          <w:b w:val="false"/>
          <w:b w:val="false"/>
          <w:bCs w:val="false"/>
          <w:u w:val="none"/>
          <w:rtl w:val="true"/>
        </w:rPr>
        <w:t xml:space="preserve"> בן שוקרי </w:t>
      </w:r>
      <w:r>
        <w:rPr>
          <w:b w:val="false"/>
          <w:b w:val="false"/>
          <w:bCs w:val="false"/>
          <w:u w:val="none"/>
          <w:rtl w:val="true"/>
        </w:rPr>
        <w:t>עבוד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אבו שוקרי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b w:val="false"/>
          <w:b w:val="false"/>
          <w:bCs w:val="false"/>
          <w:u w:val="none"/>
          <w:rtl w:val="true"/>
        </w:rPr>
        <w:t xml:space="preserve"> בן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 xml:space="preserve">אמל </w:t>
      </w:r>
      <w:r>
        <w:rPr>
          <w:b w:val="false"/>
          <w:b w:val="false"/>
          <w:bCs w:val="false"/>
          <w:u w:val="none"/>
          <w:rtl w:val="true"/>
        </w:rPr>
        <w:t>עבוד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אבו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מאל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לתקן את כתב האישום כמבוקש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עודד מודריק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לאחר שבררתי מפי הנאשמים שהם מודעים לעובדות כתב האישום המתוקן ומודים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אני מרשיע את שלושת הנאשמים בעבירה של קשירת קשר לפשע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סחר בנשק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לפי סעיף </w:t>
      </w:r>
      <w:r>
        <w:rPr>
          <w:rFonts w:cs="David" w:ascii="David" w:hAnsi="David"/>
        </w:rPr>
        <w:t>499</w:t>
      </w:r>
      <w:r>
        <w:rPr>
          <w:rFonts w:cs="David" w:ascii="David" w:hAnsi="David"/>
          <w:rtl w:val="true"/>
        </w:rPr>
        <w:t>[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][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וניסיון לסחר בנשק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[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[</w:t>
      </w: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סעיף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עודד מודריק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bookmarkStart w:id="6" w:name="ABSTRACT_START"/>
      <w:bookmarkEnd w:id="6"/>
      <w:r>
        <w:rPr>
          <w:rFonts w:ascii="David" w:hAnsi="David" w:cs="David"/>
          <w:rtl w:val="true"/>
        </w:rPr>
        <w:t>שלושת הנאשמים צעירים בראשית שנות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נותנים את הדין בעבירה של קשירת קשר לפשע וניסיון לסחר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לפני כחצי שנה קשרו השלושה קשר עם אחד יוסף באכר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למכור לו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רימונים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יוסף הבטיח לנאשמים </w:t>
      </w:r>
      <w:r>
        <w:rPr>
          <w:rFonts w:cs="David" w:ascii="David" w:hAnsi="David"/>
        </w:rPr>
        <w:t>1,100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 עבור כל 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הוא מסר להם את הכסף אך ניסיונם לאתר רימונים כדי להשלים את העסקה לא צלח ולפיכך הכסף הוחזר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7" w:name="ABSTRACT_END"/>
      <w:bookmarkEnd w:id="7"/>
      <w:r>
        <w:rPr>
          <w:rFonts w:ascii="David" w:hAnsi="David" w:cs="David"/>
          <w:rtl w:val="true"/>
        </w:rPr>
        <w:t xml:space="preserve">הצדדים הציגו לפני הסדר טיעון שבמסגרתו התבקשתי לגזור לכל אחד משלושת הנאשמים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לנשיאה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מאסר מותנה וקנס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אין כל ספק שהעבירה חמורה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המסחר ברימונים נועד לאפשר לקונה לעשות שימוש ברימונים למטרות פוגעניות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ברור שראוי להילחם בתופעה של מסחר בנשק למטרות של חיסול חשבונות למיניהם באמצעות ענישה מחמירה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בכל זאת שלושה נימוקים שנשמעו מפי בעלי הדין מצדיקים את קבלת הסדר הטיעון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מדובר בנאשמים נעדרי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התברר לי שפחות הנאשם הראשון והשני הם צעירים משכילים שעובדים לפרנסתם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מצער כמובן מאוד שאנשים כאלה הסתבכו בעבירה כל כך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אבל חד פעמיות זו יכולה לשמש נימוק להסדר מקל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הזימה הפלילית לא הגיעה לכלל מימוש 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הסיכון שהיה טמון בעסקת הנשק לשלומם של הבריות נותר סיכון ערטילאי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הנאשמים הודו באשמה וחסכו זמן שיפוטי ומשאבים של גורמים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כל אחד משלושת הנימוקים הוא בעל ערך משלו ובוודאי הצטברותם מצדיקה את קבלת הסדר הטיעון שאגב איננו מותיר את הנאשמים בלי עונש של ממש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לפיכך אני דן את כל אחד משלושת הנאשמים לעונש מאסר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שמהם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לנשיאה בפועל ומניינם מיום המעצר של הנאשמים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חמודי נעצר ביום </w:t>
      </w:r>
      <w:r>
        <w:rPr>
          <w:rFonts w:cs="David" w:ascii="David" w:hAnsi="David"/>
        </w:rPr>
        <w:t>17.5.11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 xml:space="preserve">אבו שוקרי ביום </w:t>
      </w:r>
      <w:r>
        <w:rPr>
          <w:rFonts w:cs="David" w:ascii="David" w:hAnsi="David"/>
        </w:rPr>
        <w:t>17.5.11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ואבו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 xml:space="preserve">מאל ביום </w:t>
      </w:r>
      <w:r>
        <w:rPr>
          <w:rFonts w:cs="David" w:ascii="David" w:hAnsi="David"/>
        </w:rPr>
        <w:t>24.5.11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>יתר המאסר על תנאי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מתום המאסר בתיק זה והתנאי הוא שלא יעבור עבירה שיש בה יסוד של אלימות והיא פשע או עבירה שכרוכה בנשק שהיא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נוסף לכך אני מטיל על כל אחד משלושת הנאשמים 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או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תמורתם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שיעורים חודשיים שווים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1.1.12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זכות ערעור כדין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#8#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הד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עודד מודריק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עודד מודריק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45599-05-11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עבוד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2011-12-11T12:46:00Z</dcterms:created>
  <dc:creator> </dc:creator>
  <dc:description/>
  <cp:keywords/>
  <dc:language>en-IL</dc:language>
  <cp:lastModifiedBy>hofit</cp:lastModifiedBy>
  <dcterms:modified xsi:type="dcterms:W3CDTF">2011-12-11T12:46:00Z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עבוד;אחמד עבוד</vt:lpwstr>
  </property>
  <property fmtid="{D5CDD505-2E9C-101B-9397-08002B2CF9AE}" pid="4" name="CITY">
    <vt:lpwstr>ת"א</vt:lpwstr>
  </property>
  <property fmtid="{D5CDD505-2E9C-101B-9397-08002B2CF9AE}" pid="5" name="DATE">
    <vt:lpwstr>20111205</vt:lpwstr>
  </property>
  <property fmtid="{D5CDD505-2E9C-101B-9397-08002B2CF9AE}" pid="6" name="ISABSTRACT">
    <vt:lpwstr>Y</vt:lpwstr>
  </property>
  <property fmtid="{D5CDD505-2E9C-101B-9397-08002B2CF9AE}" pid="7" name="JUDGE">
    <vt:lpwstr>הד"ר עודד מודריק</vt:lpwstr>
  </property>
  <property fmtid="{D5CDD505-2E9C-101B-9397-08002B2CF9AE}" pid="8" name="NEWPARTA">
    <vt:lpwstr>45599</vt:lpwstr>
  </property>
  <property fmtid="{D5CDD505-2E9C-101B-9397-08002B2CF9AE}" pid="9" name="NEWPARTB">
    <vt:lpwstr>05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2</vt:lpwstr>
  </property>
  <property fmtid="{D5CDD505-2E9C-101B-9397-08002B2CF9AE}" pid="14" name="TYPE_ABS_DATE">
    <vt:lpwstr>390020111205</vt:lpwstr>
  </property>
  <property fmtid="{D5CDD505-2E9C-101B-9397-08002B2CF9AE}" pid="15" name="TYPE_N_DATE">
    <vt:lpwstr>39020111205</vt:lpwstr>
  </property>
  <property fmtid="{D5CDD505-2E9C-101B-9397-08002B2CF9AE}" pid="16" name="WORDNUMPAGES">
    <vt:lpwstr>3</vt:lpwstr>
  </property>
</Properties>
</file>