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805"/>
        <w:gridCol w:w="239"/>
        <w:gridCol w:w="3676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בתי המשפט</w:t>
            </w:r>
          </w:p>
        </w:tc>
      </w:tr>
      <w:tr>
        <w:trPr>
          <w:trHeight w:val="709" w:hRule="atLeast"/>
        </w:trPr>
        <w:tc>
          <w:tcPr>
            <w:tcW w:w="4805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בית משפט השלום קריית גת</w:t>
            </w:r>
          </w:p>
        </w:tc>
        <w:tc>
          <w:tcPr>
            <w:tcW w:w="239" w:type="dxa"/>
            <w:vMerge w:val="restart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76" w:type="dxa"/>
            <w:vMerge w:val="restart"/>
            <w:tcBorders/>
          </w:tcPr>
          <w:p>
            <w:pPr>
              <w:pStyle w:val="Normal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45610-04-14</w:t>
            </w:r>
          </w:p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rtl w:val="true"/>
              </w:rPr>
              <w:t xml:space="preserve"> </w:t>
            </w:r>
          </w:p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נובמבר </w:t>
            </w:r>
            <w:r>
              <w:rPr>
                <w:b/>
                <w:bCs/>
                <w:sz w:val="28"/>
                <w:szCs w:val="28"/>
              </w:rPr>
              <w:t>2014</w:t>
            </w:r>
          </w:p>
        </w:tc>
      </w:tr>
      <w:tr>
        <w:trPr>
          <w:trHeight w:val="547" w:hRule="atLeast"/>
        </w:trPr>
        <w:tc>
          <w:tcPr>
            <w:tcW w:w="4805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: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שופטת בכירה רובין לביא</w:t>
            </w:r>
          </w:p>
        </w:tc>
        <w:tc>
          <w:tcPr>
            <w:tcW w:w="239" w:type="dxa"/>
            <w:vMerge w:val="continue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76" w:type="dxa"/>
            <w:vMerge w:val="continue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000080"/>
          <w:sz w:val="26"/>
          <w:szCs w:val="20"/>
        </w:rPr>
      </w:pPr>
      <w:r>
        <w:rPr>
          <w:rFonts w:cs="Arial" w:ascii="Arial" w:hAnsi="Arial"/>
          <w:b/>
          <w:bCs/>
          <w:color w:val="000080"/>
          <w:sz w:val="26"/>
          <w:szCs w:val="20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6"/>
        <w:gridCol w:w="839"/>
        <w:gridCol w:w="106"/>
        <w:gridCol w:w="6416"/>
        <w:gridCol w:w="19"/>
        <w:gridCol w:w="1316"/>
      </w:tblGrid>
      <w:tr>
        <w:trPr/>
        <w:tc>
          <w:tcPr>
            <w:tcW w:w="94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</w:rPr>
            </w:pPr>
            <w:bookmarkStart w:id="1" w:name="FirstAppellant"/>
            <w:bookmarkEnd w:id="1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rtl w:val="true"/>
              </w:rPr>
              <w:t>בעניין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rtl w:val="true"/>
              </w:rPr>
              <w:t>:</w:t>
            </w:r>
          </w:p>
        </w:tc>
        <w:tc>
          <w:tcPr>
            <w:tcW w:w="785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rtl w:val="true"/>
              </w:rPr>
              <w:t>מדינת ישראל</w:t>
            </w:r>
          </w:p>
        </w:tc>
      </w:tr>
      <w:tr>
        <w:trPr/>
        <w:tc>
          <w:tcPr>
            <w:tcW w:w="106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Cs/>
                <w:sz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rtl w:val="true"/>
              </w:rPr>
            </w:r>
          </w:p>
        </w:tc>
        <w:tc>
          <w:tcPr>
            <w:tcW w:w="945" w:type="dxa"/>
            <w:gridSpan w:val="2"/>
            <w:tcBorders/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rtl w:val="true"/>
              </w:rPr>
            </w:r>
          </w:p>
        </w:tc>
        <w:tc>
          <w:tcPr>
            <w:tcW w:w="641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rtl w:val="true"/>
              </w:rPr>
            </w:r>
          </w:p>
        </w:tc>
        <w:tc>
          <w:tcPr>
            <w:tcW w:w="1335" w:type="dxa"/>
            <w:gridSpan w:val="2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rtl w:val="true"/>
              </w:rPr>
              <w:t>המאשימה</w:t>
            </w:r>
          </w:p>
        </w:tc>
      </w:tr>
      <w:tr>
        <w:trPr/>
        <w:tc>
          <w:tcPr>
            <w:tcW w:w="106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Cs/>
                <w:sz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rtl w:val="true"/>
              </w:rPr>
            </w:r>
          </w:p>
        </w:tc>
        <w:tc>
          <w:tcPr>
            <w:tcW w:w="8696" w:type="dxa"/>
            <w:gridSpan w:val="5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rtl w:val="true"/>
              </w:rPr>
              <w:t>נ</w:t>
            </w: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rtl w:val="true"/>
              </w:rPr>
              <w:t>ג</w:t>
            </w: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rtl w:val="true"/>
              </w:rPr>
              <w:t>ד</w:t>
            </w:r>
          </w:p>
        </w:tc>
      </w:tr>
      <w:tr>
        <w:trPr/>
        <w:tc>
          <w:tcPr>
            <w:tcW w:w="106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b/>
                <w:bCs/>
                <w:sz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rtl w:val="true"/>
              </w:rPr>
            </w:r>
          </w:p>
        </w:tc>
        <w:tc>
          <w:tcPr>
            <w:tcW w:w="945" w:type="dxa"/>
            <w:gridSpan w:val="2"/>
            <w:tcBorders/>
          </w:tcPr>
          <w:p>
            <w:pPr>
              <w:pStyle w:val="Normal"/>
              <w:snapToGrid w:val="false"/>
              <w:ind w:start="26" w:end="0"/>
              <w:jc w:val="both"/>
              <w:rPr>
                <w:rFonts w:ascii="Times New Roman" w:hAnsi="Times New Roman" w:eastAsia="Times New Roman" w:cs="Times New Roman"/>
                <w:b/>
                <w:bCs/>
                <w:sz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rtl w:val="true"/>
              </w:rPr>
            </w:r>
          </w:p>
        </w:tc>
        <w:tc>
          <w:tcPr>
            <w:tcW w:w="643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אור בר עם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ת</w:t>
            </w: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ascii="Times New Roman" w:hAnsi="Times New Roman" w:eastAsia="Times New Roman" w:cs="Times New Roman"/>
                <w:rtl w:val="true"/>
              </w:rPr>
              <w:t>ז</w:t>
            </w: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300717113</w:t>
            </w:r>
          </w:p>
        </w:tc>
        <w:tc>
          <w:tcPr>
            <w:tcW w:w="131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Times New Roman" w:hAnsi="Times New Roman" w:eastAsia="Times New Roman" w:cs="Times New Roman"/>
                <w:b/>
                <w:bCs/>
                <w:sz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rtl w:val="true"/>
              </w:rPr>
            </w:r>
          </w:p>
        </w:tc>
      </w:tr>
      <w:tr>
        <w:trPr/>
        <w:tc>
          <w:tcPr>
            <w:tcW w:w="106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Cs/>
                <w:sz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rtl w:val="true"/>
              </w:rPr>
            </w:r>
          </w:p>
        </w:tc>
        <w:tc>
          <w:tcPr>
            <w:tcW w:w="945" w:type="dxa"/>
            <w:gridSpan w:val="2"/>
            <w:tcBorders/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rtl w:val="true"/>
              </w:rPr>
            </w:r>
          </w:p>
        </w:tc>
        <w:tc>
          <w:tcPr>
            <w:tcW w:w="643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rtl w:val="true"/>
              </w:rPr>
            </w:r>
          </w:p>
        </w:tc>
        <w:tc>
          <w:tcPr>
            <w:tcW w:w="1316" w:type="dxa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  <w:b/>
          <w:bCs/>
          <w:sz w:val="26"/>
        </w:rPr>
      </w:pPr>
      <w:r>
        <w:rPr>
          <w:rFonts w:ascii="Arial" w:hAnsi="Arial" w:cs="Arial"/>
          <w:b/>
          <w:b/>
          <w:bCs/>
          <w:sz w:val="26"/>
          <w:sz w:val="26"/>
          <w:rtl w:val="true"/>
        </w:rPr>
        <w:t>נוכחים</w:t>
      </w:r>
      <w:r>
        <w:rPr>
          <w:rFonts w:cs="Arial" w:ascii="Arial" w:hAnsi="Arial"/>
          <w:b/>
          <w:bCs/>
          <w:sz w:val="26"/>
          <w:rtl w:val="true"/>
        </w:rPr>
        <w:t>:</w:t>
      </w:r>
    </w:p>
    <w:p>
      <w:pPr>
        <w:pStyle w:val="Normal"/>
        <w:ind w:end="0"/>
        <w:jc w:val="both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tl w:val="true"/>
        </w:rPr>
        <w:t xml:space="preserve"> המאשימה עו</w:t>
      </w:r>
      <w:r>
        <w:rPr>
          <w:rtl w:val="true"/>
        </w:rPr>
        <w:t>"</w:t>
      </w:r>
      <w:r>
        <w:rPr>
          <w:rtl w:val="true"/>
        </w:rPr>
        <w:t xml:space="preserve">ד ענבל אביב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הנאשם </w:t>
      </w:r>
      <w:r>
        <w:rPr>
          <w:rtl w:val="true"/>
        </w:rPr>
        <w:t>–</w:t>
      </w:r>
      <w:r>
        <w:rPr>
          <w:rtl w:val="true"/>
        </w:rPr>
        <w:t>בעצמו  ובא כוחו עו</w:t>
      </w:r>
      <w:r>
        <w:rPr>
          <w:rtl w:val="true"/>
        </w:rPr>
        <w:t>"</w:t>
      </w:r>
      <w:r>
        <w:rPr>
          <w:rtl w:val="true"/>
        </w:rPr>
        <w:t xml:space="preserve">ד  סיוון איתמר </w:t>
      </w:r>
    </w:p>
    <w:p>
      <w:pPr>
        <w:pStyle w:val="Normal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sz w:val="6"/>
          <w:szCs w:val="6"/>
          <w:u w:val="none"/>
        </w:rPr>
      </w:pPr>
      <w:r>
        <w:rPr>
          <w:b w:val="false"/>
          <w:bCs w:val="false"/>
          <w:sz w:val="6"/>
          <w:szCs w:val="6"/>
          <w:u w:val="none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szCs w:val="24"/>
          <w:rtl w:val="true"/>
        </w:rPr>
        <w:t>במסמך זה הושמטו פרוטוקולים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4"/>
        </w:rPr>
      </w:pPr>
      <w:r>
        <w:rPr>
          <w:rFonts w:cs="FrankRuehl" w:ascii="FrankRuehl" w:hAnsi="FrankRuehl"/>
          <w:sz w:val="28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r>
        <w:rPr>
          <w:rFonts w:ascii="FrankRuehl" w:hAnsi="FrankRuehl" w:cs="FrankRuehl"/>
          <w:szCs w:val="24"/>
          <w:rtl w:val="true"/>
        </w:rPr>
        <w:t>חקיקה שאוזכרה</w:t>
      </w:r>
      <w:r>
        <w:rPr>
          <w:rFonts w:cs="FrankRuehl" w:ascii="FrankRuehl" w:hAnsi="FrankRuehl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1973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r>
        <w:rPr>
          <w:rFonts w:cs="FrankRuehl" w:ascii="FrankRuehl" w:hAnsi="FrankRuehl"/>
          <w:szCs w:val="24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  <w:t>בימ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ש מודיע כי נשמעו טיעונים לעונש והוגשה פסיקה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והדיון נדחה ליום </w:t>
      </w:r>
      <w:r>
        <w:rPr>
          <w:szCs w:val="24"/>
        </w:rPr>
        <w:t>17.9.14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והתובעת אף חזרה בה מעתירתה למאסר והודיעה שהיא מסתפקת בשישה חודשי עבודות שירות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מאסר מותנה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קנס והתחייבות</w:t>
      </w:r>
      <w:r>
        <w:rPr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  <w:t>הסניגור טען אף הוא לעונש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והוגשה פסיקה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והדיון נדחה למתן גזר דין</w:t>
      </w:r>
      <w:r>
        <w:rPr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  <w:t>בימ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ש מודיע שלכן שגזר הדין מוכן להקראה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ואם הסניגור מבקש להוסיף ולטעון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מתוך הגינות בימ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ש מודיע לו שגזר הדין מוכן</w:t>
      </w:r>
      <w:r>
        <w:rPr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  <w:t>מעיון בפרוט</w:t>
      </w:r>
      <w:r>
        <w:rPr>
          <w:szCs w:val="24"/>
          <w:rtl w:val="true"/>
        </w:rPr>
        <w:t xml:space="preserve">' </w:t>
      </w:r>
      <w:r>
        <w:rPr>
          <w:szCs w:val="24"/>
          <w:rtl w:val="true"/>
        </w:rPr>
        <w:t>אכן עולה שלא צוין שנדחה למתן גזר דין אלא חו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ד ממונה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אך לאחר טיעונים לעונש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ולכן בימ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ש סבר שהעניין ברור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מה עוד שמותב זה יוצא לחופשת שבתון ולכן ברור שיש להוציא גזר דין עוד היום</w:t>
      </w:r>
      <w:r>
        <w:rPr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 xml:space="preserve">יתנה והודעה היום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כסלו תשע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b/>
          <w:bCs/>
          <w:rtl w:val="true"/>
        </w:rPr>
        <w:t xml:space="preserve">, </w:t>
      </w:r>
      <w:r>
        <w:rPr/>
        <w:t>25/11/2014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רובין לביא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שופטת בכירה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  <w:t>הסניגור יכול לחוש בנוח ויטען אלא שמתן גזר הדין ידחה</w:t>
      </w:r>
      <w:r>
        <w:rPr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כסלו תשע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b/>
          <w:bCs/>
          <w:rtl w:val="true"/>
        </w:rPr>
        <w:t xml:space="preserve">, </w:t>
      </w:r>
      <w:r>
        <w:rPr/>
        <w:t>25/11/2014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רובין לביא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שופטת בכירה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  <w:t>&lt;</w:t>
      </w:r>
      <w:r>
        <w:rPr>
          <w:rFonts w:cs="Arial" w:ascii="Arial" w:hAnsi="Arial"/>
          <w:sz w:val="6"/>
          <w:szCs w:val="6"/>
        </w:rPr>
        <w:t>#6#</w:t>
      </w:r>
      <w:r>
        <w:rPr>
          <w:rFonts w:cs="Arial" w:ascii="Arial" w:hAnsi="Arial"/>
          <w:sz w:val="6"/>
          <w:szCs w:val="6"/>
          <w:rtl w:val="true"/>
        </w:rPr>
        <w:t>&gt;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ind w:end="0"/>
        <w:jc w:val="both"/>
        <w:rPr>
          <w:szCs w:val="24"/>
        </w:rPr>
      </w:pPr>
      <w:bookmarkStart w:id="8" w:name="PsakDin"/>
      <w:bookmarkEnd w:id="8"/>
      <w:r>
        <w:rPr>
          <w:szCs w:val="24"/>
          <w:rtl w:val="true"/>
        </w:rPr>
        <w:t xml:space="preserve"> </w:t>
      </w:r>
    </w:p>
    <w:p>
      <w:pPr>
        <w:pStyle w:val="Normal"/>
        <w:ind w:end="0"/>
        <w:jc w:val="both"/>
        <w:rPr>
          <w:rFonts w:ascii="Arial" w:hAnsi="Arial" w:cs="Arial"/>
        </w:rPr>
      </w:pPr>
      <w:bookmarkStart w:id="9" w:name="ABSTRACT_START"/>
      <w:bookmarkEnd w:id="9"/>
      <w:r>
        <w:rPr>
          <w:rFonts w:ascii="Arial" w:hAnsi="Arial" w:cs="Arial"/>
          <w:rtl w:val="true"/>
        </w:rPr>
        <w:t xml:space="preserve">הנאשם הודה והורשע במסגרת הסדר טיעון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שכלל תיקון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הסכמה עונשית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בשני אישומים כמפורט</w:t>
      </w:r>
      <w:bookmarkStart w:id="10" w:name="ABSTRACT_END"/>
      <w:bookmarkEnd w:id="10"/>
      <w:r>
        <w:rPr>
          <w:rFonts w:cs="Arial" w:ascii="Arial" w:hAnsi="Arial"/>
          <w:rtl w:val="true"/>
        </w:rPr>
        <w:t>: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22.4.14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18:05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בשטח פתוח בקיבוץ מפלסים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גידל שלא כדין סם מסוכן מסוג קאנבוס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שתילים במשקל </w:t>
      </w:r>
      <w:r>
        <w:rPr>
          <w:rFonts w:cs="Arial" w:ascii="Arial" w:hAnsi="Arial"/>
        </w:rPr>
        <w:t>185.50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החזיק שלא כדין כלים להכנת הסם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כגון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בקבוקים להשקיה וחומר הדברה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עבירות של גידול סם מסוכן והחזקת כלים להכנת סם שלא לצריכה עצמית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וכן בכך שגידל שלא כדין  בדירתו בקיבוץ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שני שתילי סם מסוכן מסוג קאנבוס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בתוך ארון בגדים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מצופה נייר כסף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במשקל </w:t>
      </w:r>
      <w:r>
        <w:rPr>
          <w:rFonts w:cs="Arial" w:ascii="Arial" w:hAnsi="Arial"/>
        </w:rPr>
        <w:t>144.60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החזיק כלים המשמשים להכנת הסם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כגון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משקל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זרעים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מפזר חום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זרקור שחור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חמש מנורות לבנות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ושעון טמפרטורה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עבירה נוספת של גידול סם מסוכן  והחזקת כלים להכנתו שלא לצריכה עצמית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נתקבל תסקיר ממנו עולה כי הנאשם בן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עבד בעבודות מזדמנות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ולסירוגין טייל בחו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לדבריו השלים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 ושירת שרות מלא בצה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כנשק וכיום משולב במערך המילואים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התרשמו מצעיר מופנם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בעל יכולות תפקודיות טובות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ומערכת ערכים נורמטיבית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המתקשה להשיג יציבות בחייו ולבסס עתידו בארץ בטענה שחש חוסר אמון בממשלה והיעדר תחושת מוגנות כתושב ישוב עוטף עזה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התקשה לשתף בעולמו הפנימי ולכן אין תמונה מלאה אודות מצבו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טען שצורך מריחואנה וכי גידל הסם מתוך אתגר ועניין אישי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הוא התקשה לשתף בסיבות לצריכת הסם והתלות בו וטוען כי הסם גורם לו לתחושת הנאה וסיפוק ולא מוצא פסול בשימוש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שתי בדיקות שמסר נמצאו נקיות ולדבריו מצליח להפסיק השימוש ולא רואה צורך בסיוע חיצוני אך ביטא נכונות לעמוד בקשר עם שרות המבחן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הם  ממליצים להעמידו בצו מבחן מעקבי  יחד עם צו 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צ בהיקף של </w:t>
      </w:r>
      <w:r>
        <w:rPr>
          <w:rFonts w:cs="Arial" w:ascii="Arial" w:hAnsi="Arial"/>
        </w:rPr>
        <w:t>340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 התרשמותם מיכולת גבוהה שלו להפיק תועלת מההליך המשפטי והאלמנט ההרתעתי ובשל עברו הנקי וכדי לא לפגוע בדימויו העצמי ובהליך השיקומי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ממליצים לבטל ההרשעה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 מצטרף להמלצה והתביעה מתנגדת אך בשל התסקיר חוזרת בה מעתירתה למאסר בכלא ומסתפקת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בעבודות שרות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 והתחייבות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 מפנה לפסקי דין שלטענתו תומכים בעתירתו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ג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מחוזי מרכז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אלון נגד מ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ascii="Arial" w:hAnsi="Arial" w:cs="Arial"/>
          <w:rtl w:val="true"/>
        </w:rPr>
        <w:t xml:space="preserve"> מיום </w:t>
      </w:r>
      <w:r>
        <w:rPr>
          <w:rFonts w:cs="Arial" w:ascii="Arial" w:hAnsi="Arial"/>
        </w:rPr>
        <w:t>22.5.11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החזקת קאנבוס במשקל </w:t>
      </w:r>
      <w:r>
        <w:rPr>
          <w:rFonts w:cs="Arial" w:ascii="Arial" w:hAnsi="Arial"/>
        </w:rPr>
        <w:t>8220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ספורטאי המייצג את ישראל  בתחרויות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ודו  אולימפיות שהחביא את הסם עבור אחר שגידל אותו וביהמ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סבר כי מדובר בחריג לכלל  על פיו יש להרשיע וביטל ההרשעה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5177/14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משה זוארץ נגד מ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ascii="Arial" w:hAnsi="Arial" w:cs="Arial"/>
          <w:rtl w:val="true"/>
        </w:rPr>
        <w:t xml:space="preserve">  שם המבקש התקין ציוד בדירה ששכר ובמהלך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גידל בשיטת ההידרו </w:t>
      </w:r>
      <w:r>
        <w:rPr>
          <w:rFonts w:cs="Arial" w:ascii="Arial" w:hAnsi="Arial"/>
        </w:rPr>
        <w:t>257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שתילים 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במשקל כולל של </w:t>
      </w:r>
      <w:r>
        <w:rPr>
          <w:rFonts w:cs="Arial" w:ascii="Arial" w:hAnsi="Arial"/>
        </w:rPr>
        <w:t>9.4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ג </w:t>
      </w:r>
      <w:r>
        <w:rPr>
          <w:rFonts w:cs="Arial" w:ascii="Arial" w:hAnsi="Arial"/>
          <w:rtl w:val="true"/>
        </w:rPr>
        <w:t>,</w:t>
      </w:r>
      <w:r>
        <w:rPr>
          <w:rFonts w:ascii="Arial" w:hAnsi="Arial" w:cs="Arial"/>
          <w:rtl w:val="true"/>
        </w:rPr>
        <w:t xml:space="preserve">וכן </w:t>
      </w:r>
      <w:r>
        <w:rPr>
          <w:rFonts w:cs="Arial" w:ascii="Arial" w:hAnsi="Arial"/>
        </w:rPr>
        <w:t>669.65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נטו סם מסוכן מסוג קנאבוס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כלומר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כמות גדולה בהרבה מהמיוחסת לנאשם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ולמרות זאת בימ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ש מחוזי הפחית משמונה חודשי המאסר שהוטלו עליו </w:t>
      </w:r>
      <w:r>
        <w:rPr>
          <w:rFonts w:cs="Arial" w:ascii="Arial" w:hAnsi="Arial"/>
          <w:rtl w:val="true"/>
        </w:rPr>
        <w:t>,</w:t>
      </w:r>
      <w:r>
        <w:rPr>
          <w:rFonts w:ascii="Arial" w:hAnsi="Arial" w:cs="Arial"/>
          <w:rtl w:val="true"/>
        </w:rPr>
        <w:t xml:space="preserve">את המעצר של חודש וחצי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והשווה הקנס לזה שהוטל על שותפו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בימש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 ציין כי מדובר בענישה הולמת ואף עומדת ברף התחתון של הענישה המקובלת ומפנה ל</w:t>
      </w:r>
      <w:hyperlink r:id="rId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7675/13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סעאפין נגד מ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ascii="Arial" w:hAnsi="Arial" w:cs="Arial"/>
          <w:rtl w:val="true"/>
        </w:rPr>
        <w:t xml:space="preserve"> מיום </w:t>
      </w:r>
      <w:r>
        <w:rPr>
          <w:rFonts w:cs="Arial" w:ascii="Arial" w:hAnsi="Arial"/>
        </w:rPr>
        <w:t>26.1.14</w:t>
      </w:r>
      <w:r>
        <w:rPr>
          <w:rFonts w:cs="Arial" w:ascii="Arial" w:hAnsi="Arial"/>
          <w:rtl w:val="true"/>
        </w:rPr>
        <w:t xml:space="preserve"> , </w:t>
      </w:r>
      <w:r>
        <w:rPr>
          <w:rFonts w:ascii="Arial" w:hAnsi="Arial" w:cs="Arial"/>
          <w:rtl w:val="true"/>
        </w:rPr>
        <w:t>ל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1447/06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ביטאן נגד מ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ascii="Arial" w:hAnsi="Arial" w:cs="Arial"/>
          <w:rtl w:val="true"/>
        </w:rPr>
        <w:t xml:space="preserve">  ול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856/02</w:t>
        </w:r>
      </w:hyperlink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י נגד שמואל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למתחם העונשי  הראוי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הערך החברתי המוגן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הינו החובה להגן על בריאותו ושלומו הפיסי והנפשי של הציבור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והצורך למנוע הפגיעה והנזק לחברה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שנגרמים מהתופעה הקשה של ההתמכרות לחומרים פסיכו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אקטיביים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משני תודעה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 xml:space="preserve">הנזק נגרם גם במעשי עבירה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הנלווים  לעבירות  אלה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ונובעים מהצורך להשביע הרעב הבלתי נדלה לסמים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 xml:space="preserve">הסכנה הנשקפת לכן ממי שמהווה חוליה בשרשרת הפצת הסמים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ידועה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בכדי קבע המחוקק בצד עבירת הסחר והגידול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לתקופה של עד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בברע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</w:rPr>
        <w:t>6987/13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אברמוב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21.10.13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גידול והחזקה של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נדון הנאשם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וקנס בסך  </w:t>
      </w:r>
      <w:r>
        <w:rPr>
          <w:rFonts w:cs="Arial" w:ascii="Arial" w:hAnsi="Arial"/>
        </w:rPr>
        <w:t>7,500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ורכיבים הרתעתים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בברע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</w:rPr>
        <w:t>7675/13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סאעפין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 מיום </w:t>
      </w:r>
      <w:r>
        <w:rPr>
          <w:rFonts w:cs="Arial" w:ascii="Arial" w:hAnsi="Arial"/>
        </w:rPr>
        <w:t>26.1.14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 xml:space="preserve">גידול קנבוס במשקל </w:t>
      </w:r>
      <w:r>
        <w:rPr>
          <w:rFonts w:cs="Arial" w:ascii="Arial" w:hAnsi="Arial"/>
        </w:rPr>
        <w:t>11.3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קילו וכן החזקת כמויות קטנות יותר לצריכה עצמית 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נדון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וקנס בסך  </w:t>
      </w:r>
      <w:r>
        <w:rPr>
          <w:rFonts w:cs="Arial" w:ascii="Arial" w:hAnsi="Arial"/>
        </w:rPr>
        <w:t>8,500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ורכיבים הרתעתיים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בת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</w:rPr>
        <w:t>1370/05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מחוזי נצרת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28.2.06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חסנום שינגאמונג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המערער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אזרח תאילנדי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הורשע בעבירה של החזקת סם מסוכן וגידולו בקיבוץ שבו עבד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שתל שתילי קנבוס ונתפס עם סם במשקל המתקרב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דינו נגזר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ומאסרים מותנים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בית משפט מחוזי ציין כי גידול צמחי קנבוס הוא מעשה חמור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בעיקר כשמדובר בכמות גדולה יחסית וכי המחוקק הביע עמדתו לגבי חומרת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בכך שקבע בצידה עונש מירבי של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גידל הסם והשתמש בהם לבישול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עברו נקי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הודה מיד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הביע חרטה ובתום ריצוי העונש צפוי לגרוש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ולכן מצאו לנכון להפחית מתקופת המאסר שהועמד על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בבית משפט שלום תל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אביב 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.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Arial" w:ascii="Arial" w:hAnsi="Arial"/>
            <w:color w:val="0000FF"/>
            <w:u w:val="single"/>
          </w:rPr>
          <w:t>29401-11-12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25.2.13</w:t>
      </w:r>
      <w:r>
        <w:rPr>
          <w:rFonts w:cs="Arial" w:ascii="Arial" w:hAnsi="Arial"/>
          <w:rtl w:val="true"/>
        </w:rPr>
        <w:t>, (</w:t>
      </w:r>
      <w:r>
        <w:rPr>
          <w:rFonts w:ascii="Arial" w:hAnsi="Arial" w:cs="Arial"/>
          <w:rtl w:val="true"/>
        </w:rPr>
        <w:t>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שגיא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קבע בית המשפט מתחם עונשי הנע בין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בהתבסס על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17155-07-10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עמר ניסים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גידול מעל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קנבוס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 בית משפט שלום הסתפק ב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עבודות שירות ובמסגרת הערעור גובשה הסכמה על פיה העונש הועמד על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וכן על 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מרכז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52810-07-10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חזי עזריה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21.12.10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ניהול מעבדה ליצור קנבוס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שתילים במשקל </w:t>
      </w:r>
      <w:r>
        <w:rPr>
          <w:rFonts w:cs="Arial" w:ascii="Arial" w:hAnsi="Arial"/>
        </w:rPr>
        <w:t>1.180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ג וכן החזקת חשיש במשקל </w:t>
      </w:r>
      <w:r>
        <w:rPr>
          <w:rFonts w:cs="Arial" w:ascii="Arial" w:hAnsi="Arial"/>
        </w:rPr>
        <w:t>277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גרם נטו וחגיגת במשקל </w:t>
      </w:r>
      <w:r>
        <w:rPr>
          <w:rFonts w:cs="Arial" w:ascii="Arial" w:hAnsi="Arial"/>
        </w:rPr>
        <w:t>94.96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משפט שלום גזר דינו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 xml:space="preserve">בית משפט מחוזי ציין כי נוכח התפתחויות בהיבט השיקומי יש להעמיד העונש על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בדרך של עבודות שירות 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.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Arial" w:ascii="Arial" w:hAnsi="Arial"/>
            <w:color w:val="0000FF"/>
            <w:u w:val="single"/>
          </w:rPr>
          <w:t>22471-01-14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אלברט פיסחוב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 xml:space="preserve">היה  מדובר בגידול של </w:t>
      </w:r>
      <w:r>
        <w:rPr>
          <w:rFonts w:cs="Arial" w:ascii="Arial" w:hAnsi="Arial"/>
        </w:rPr>
        <w:t>250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שתילים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במשקל כולל של </w:t>
      </w: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קילו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בתכנון מוקדם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שכירת קוטג</w:t>
      </w:r>
      <w:r>
        <w:rPr>
          <w:rFonts w:cs="Arial" w:ascii="Arial" w:hAnsi="Arial"/>
          <w:rtl w:val="true"/>
        </w:rPr>
        <w:t xml:space="preserve">', </w:t>
      </w:r>
      <w:r>
        <w:rPr>
          <w:rFonts w:ascii="Arial" w:hAnsi="Arial" w:cs="Arial"/>
          <w:rtl w:val="true"/>
        </w:rPr>
        <w:t>והכנת ציוד רב וכן עבירה של נטילת חשמל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גובש הסדר טיעון על פיו הפרקליטות הגבילה עצמה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בעוד טיעוני הסניגור חופשיים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וגזרתי דינו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ערעור שהוגש במסגרת 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43493-05-14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נדחה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שציין כי לא מצאו שהעונש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נגזר בתוך טווח ענישה מוסכם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מחמיר עם המערער נוכח מעשיו הקשים וכי אין לומר כי בית משפט החמיר עם המערער וכפי שצויין שם 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לצערינו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העבירה של גידול סמים בדרך שנעשתה על ידי המערער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הפכה לאחרונה נפוצה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ודי בכך כדי להוות עילה נוספת לאי התערבות ערכאת הערעור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יש לראות בחומרה רבה את מעשי המערער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אשר בשל שיקולים כלכלים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בשל מחסור כספי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ביצע עבירה קשה שאלמלא הפעילות המשטרתית היה עלול לפגוע באופן חמור בציבור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המערער היווה חוליה חיונית בשרשרת הפצת הסמים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ובצדק דן אותו בית משפט לעונש שנפסק</w:t>
      </w:r>
      <w:r>
        <w:rPr>
          <w:rFonts w:cs="Arial" w:ascii="Arial" w:hAnsi="Arial"/>
          <w:b/>
          <w:bCs/>
          <w:rtl w:val="true"/>
        </w:rPr>
        <w:t xml:space="preserve">".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באותו עניין מותב זה קבע מתחם עונשי שאושר בבימ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מחוזי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ש על פיו העונש ההולם מי שמגדל קאנבוס הינו מאסר בפועל לתקופה שבין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ככל שמדובר בכמות שאינה גדולה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אולם לכשמדובר בכמות העולה על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אך פחותה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או שכבר החל בשיווקו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המתחם ינוע בין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ל</w:t>
      </w:r>
      <w:r>
        <w:rPr>
          <w:rFonts w:cs="Arial" w:ascii="Arial" w:hAnsi="Arial"/>
          <w:rtl w:val="true"/>
        </w:rPr>
        <w:t xml:space="preserve">- 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אמנם המחוקק לא הבחין בקביעת העונש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בין סוגי הסם או כמויות הסם ואין אבחנה בין גידול סם למטרת סחר או לצריכה עצמית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בתי המשפט נוהגים להחמיר בעבירת גידול סם ככל שהכמות גדולה יותר ומעשי הסחר רבים יותר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העונש הראוי אם כן בגין העבירות אותן עבר הנאשם שבפני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ואפילו אראה בשני האישומים פרשה אחת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הינו מאסר 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היות המגדל בחור שניהל בעבר אורח חיים נורמטיבי ואשר עברו נקי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נקלע לקשיים כלכלים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מאפיין לצערי חלק ניכר מהמעורבים  בתופעת גידול הסם ההידרופוני בבתים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ודורש מקורות למימון ראשוני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ידע בסיסי בתחומים 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ואפילו אם הידע נרכש מהאינטרנט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כטענת רבים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גם הטענה החוזרת על עצמה כאילו הגידול נועד לצריכה עצמית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בכדי קבע המחוקק כי העבירה של גידול סם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הינה עבירה חמורה מסוג פשע שדינה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אמנם 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>מאפשר לביהמ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לחרוג מן העונש ההולם בשל שיקולי שיקום אולם אם מדובר בעבירה בעלת חומרה יתרה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יעשה כן אך ורק בנסיבות מיוחדות ויוצאות דופן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גידול סם מסוכן בנסיבות כמתואר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מהווה עבירה חמורה ובמקרה שבפני לא מצאתי כי נתקיימו נסיבות יוצאות דופן המצדיקות לחרוג לקולא מהמתחם העונשי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אחת כמה וכמה שלא מצאתי הצדקה להימנע מהרשעה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התופעה של גידול סמים בעת האחרונה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באה בעקבות סגירת הגבול הדרומי 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ייבוש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מקורות הסם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לכן על בתי המשפט להירתם למלחמה 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כשהחומר המופק בדרך כלל בגידול הביתי בעל איכות גבוהה ולכן השפעתו חזקה</w:t>
      </w:r>
      <w:r>
        <w:rPr>
          <w:rFonts w:cs="Arial" w:ascii="Arial" w:hAnsi="Arial"/>
          <w:rtl w:val="true"/>
        </w:rPr>
        <w:t>,</w:t>
      </w:r>
      <w:r>
        <w:rPr>
          <w:rtl w:val="true"/>
        </w:rPr>
        <w:t xml:space="preserve"> </w:t>
      </w:r>
      <w:r>
        <w:rPr>
          <w:rFonts w:ascii="Arial" w:hAnsi="Arial" w:cs="Arial"/>
          <w:rtl w:val="true"/>
        </w:rPr>
        <w:t>מה עוד שמבוצע בחדרי חדרים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ולכן קיים קושי לאתרו ולמונעו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המתחם  שנקבע על ידי מותב זה נע במקרה זה בין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והואיל והכמות שנתפסה היא כמות קטנה יחסית ואף לא מגיעה למשקל של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ולאור התסקיר והמלצת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נראה כי אכן מאסר אותו ישא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כעתירת התביעה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עונש ראוי יחד עם רכיבים הרתעתים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כל האמור אני גוזרת דינו לענישה כמפורט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Times New Roman" w:hAnsi="Times New Roman" w:cs="Times New Roman"/>
          <w:lang w:val="en-IL" w:eastAsia="en-IL"/>
        </w:rPr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 xml:space="preserve">מאסר בפועל לתקופה של </w:t>
      </w:r>
      <w:r>
        <w:rPr/>
        <w:t>6</w:t>
      </w:r>
      <w:r>
        <w:rPr>
          <w:rtl w:val="true"/>
        </w:rPr>
        <w:t xml:space="preserve">  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בעבודות שירות בכפר איבים</w:t>
      </w:r>
      <w:r>
        <w:rPr>
          <w:rtl w:val="true"/>
        </w:rPr>
        <w:t xml:space="preserve">,   </w:t>
      </w:r>
      <w:r>
        <w:rPr>
          <w:rtl w:val="true"/>
        </w:rPr>
        <w:t xml:space="preserve">וזאת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ימים בשבוע</w:t>
      </w:r>
      <w:r>
        <w:rPr>
          <w:rtl w:val="true"/>
        </w:rPr>
        <w:t xml:space="preserve">, </w:t>
      </w:r>
      <w:r>
        <w:rPr/>
        <w:t>8.5</w:t>
      </w:r>
      <w:r>
        <w:rPr>
          <w:rtl w:val="true"/>
        </w:rPr>
        <w:t xml:space="preserve"> </w:t>
      </w:r>
      <w:r>
        <w:rPr>
          <w:rtl w:val="true"/>
        </w:rPr>
        <w:t>שעות יומיות</w:t>
      </w:r>
      <w:r>
        <w:rPr>
          <w:rtl w:val="true"/>
        </w:rPr>
        <w:t xml:space="preserve">, </w:t>
      </w:r>
      <w:r>
        <w:rPr>
          <w:rtl w:val="true"/>
        </w:rPr>
        <w:t>בעבודות אחזקה וסיוע</w:t>
      </w:r>
      <w:r>
        <w:rPr>
          <w:rtl w:val="true"/>
        </w:rPr>
        <w:t xml:space="preserve">, </w:t>
      </w:r>
      <w:r>
        <w:rPr>
          <w:rtl w:val="true"/>
        </w:rPr>
        <w:t>מנהלה ושירותים בפיקוח ישראלי שרון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 xml:space="preserve">תחילת המאסר מיום  </w:t>
      </w:r>
      <w:r>
        <w:rPr/>
        <w:t>2.12.14</w:t>
      </w:r>
      <w:r>
        <w:rPr>
          <w:rtl w:val="true"/>
        </w:rPr>
        <w:t xml:space="preserve">  </w:t>
      </w:r>
      <w:r>
        <w:rPr>
          <w:rtl w:val="true"/>
        </w:rPr>
        <w:t xml:space="preserve">ועליו להתייצב בשעה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במועד זה בפני המפקח על עבודות השירות לצורך קליטה והצבה במפקדת גוש דרום 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ליד כלא 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,  (</w:t>
      </w:r>
      <w:r>
        <w:rPr>
          <w:rtl w:val="true"/>
        </w:rPr>
        <w:t>אוטובוס אגד מתחנה מרכזית בב</w:t>
      </w:r>
      <w:r>
        <w:rPr>
          <w:rtl w:val="true"/>
        </w:rPr>
        <w:t>"</w:t>
      </w:r>
      <w:r>
        <w:rPr>
          <w:rtl w:val="true"/>
        </w:rPr>
        <w:t xml:space="preserve">ש קו </w:t>
      </w:r>
      <w:r>
        <w:rPr/>
        <w:t>46</w:t>
      </w:r>
      <w:r>
        <w:rPr>
          <w:rtl w:val="true"/>
        </w:rPr>
        <w:t>).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על הנאשם לדווח לממונה על עבודות השירות בשב</w:t>
      </w:r>
      <w:r>
        <w:rPr>
          <w:rtl w:val="true"/>
        </w:rPr>
        <w:t>"</w:t>
      </w:r>
      <w:r>
        <w:rPr>
          <w:rtl w:val="true"/>
        </w:rPr>
        <w:t>ס אודות כל שינוי בכתובתו ובפרטיו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מוסבר לו כי עליו לעמוד בתנאי הפיקוח וביקורות הפתע וכי כל הפרה תביא להפסקה מנהלית של העבודות ולנשיאה בעונש בין כותלי הכלא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 xml:space="preserve">אני מטילה על הנאשם 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למשך </w:t>
      </w:r>
      <w:r>
        <w:rPr/>
        <w:t>3</w:t>
      </w:r>
      <w:r>
        <w:rPr>
          <w:rtl w:val="true"/>
        </w:rPr>
        <w:t xml:space="preserve">   </w:t>
      </w:r>
      <w:r>
        <w:rPr>
          <w:rtl w:val="true"/>
        </w:rPr>
        <w:t xml:space="preserve">שנים והתנאי הוא שלא יעבור עבירה מסוג פשע על </w:t>
      </w:r>
      <w:hyperlink r:id="rId13">
        <w:r>
          <w:rPr>
            <w:rStyle w:val="Hyperlink"/>
            <w:color w:val="0000FF"/>
            <w:u w:val="single"/>
            <w:rtl w:val="true"/>
          </w:rPr>
          <w:t>פקודת הסמים המסוכנים</w:t>
        </w:r>
      </w:hyperlink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 xml:space="preserve">אני מטילה על הנאשם 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למשך </w:t>
      </w:r>
      <w:r>
        <w:rPr/>
        <w:t>3</w:t>
      </w:r>
      <w:r>
        <w:rPr>
          <w:rtl w:val="true"/>
        </w:rPr>
        <w:t xml:space="preserve">   </w:t>
      </w:r>
      <w:r>
        <w:rPr>
          <w:rtl w:val="true"/>
        </w:rPr>
        <w:t xml:space="preserve">שנים והתנאי הוא שלא יעבור עבירה מסוג עוון על </w:t>
      </w:r>
      <w:hyperlink r:id="rId14">
        <w:r>
          <w:rPr>
            <w:rStyle w:val="Hyperlink"/>
            <w:color w:val="0000FF"/>
            <w:u w:val="single"/>
            <w:rtl w:val="true"/>
          </w:rPr>
          <w:t>פקודת הסמים המסוכנים</w:t>
        </w:r>
      </w:hyperlink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 xml:space="preserve">קנס בסך  </w:t>
      </w:r>
      <w:r>
        <w:rPr/>
        <w:t>4000</w:t>
      </w:r>
      <w:r>
        <w:rPr>
          <w:rtl w:val="true"/>
        </w:rPr>
        <w:t xml:space="preserve">  ₪, </w:t>
      </w:r>
      <w:r>
        <w:rPr>
          <w:rtl w:val="true"/>
        </w:rPr>
        <w:t xml:space="preserve">או  </w:t>
      </w:r>
      <w:r>
        <w:rPr/>
        <w:t>100</w:t>
      </w:r>
      <w:r>
        <w:rPr>
          <w:rtl w:val="true"/>
        </w:rPr>
        <w:t xml:space="preserve">  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הקנס ישולם ב</w:t>
      </w:r>
      <w:r>
        <w:rPr>
          <w:rtl w:val="true"/>
        </w:rPr>
        <w:t xml:space="preserve">-  </w:t>
      </w:r>
      <w:r>
        <w:rPr/>
        <w:t>4</w:t>
      </w:r>
      <w:r>
        <w:rPr>
          <w:rtl w:val="true"/>
        </w:rPr>
        <w:t xml:space="preserve">   </w:t>
      </w:r>
      <w:r>
        <w:rPr>
          <w:rtl w:val="true"/>
        </w:rPr>
        <w:t>תשלומים שווים ורצופים החל מה</w:t>
      </w:r>
      <w:r>
        <w:rPr>
          <w:rtl w:val="true"/>
        </w:rPr>
        <w:t xml:space="preserve">-  </w:t>
      </w:r>
      <w:r>
        <w:rPr/>
        <w:t>10.6.15</w:t>
      </w:r>
      <w:r>
        <w:rPr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אם לא ישלם אחד מן התשלומים במועד יעמוד כל הסכום לפרעון מיידי</w:t>
      </w:r>
      <w:r>
        <w:rPr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 xml:space="preserve">הנאשם יחתום על התחייבות בסך  </w:t>
      </w:r>
      <w:r>
        <w:rPr/>
        <w:t>15,000</w:t>
      </w:r>
      <w:r>
        <w:rPr>
          <w:rtl w:val="true"/>
        </w:rPr>
        <w:t xml:space="preserve"> ₪ </w:t>
      </w:r>
      <w:r>
        <w:rPr>
          <w:rtl w:val="true"/>
        </w:rPr>
        <w:t xml:space="preserve">להימנע מביצוע העבירות בהן הורשע במשך  </w:t>
      </w:r>
      <w:r>
        <w:rPr/>
        <w:t>3</w:t>
      </w:r>
      <w:r>
        <w:rPr>
          <w:rtl w:val="true"/>
        </w:rPr>
        <w:t xml:space="preserve">  </w:t>
      </w:r>
      <w:r>
        <w:rPr>
          <w:rtl w:val="true"/>
        </w:rPr>
        <w:t>שנים מהיום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אם לא יחתום על ההתחייבות</w:t>
      </w:r>
      <w:r>
        <w:rPr>
          <w:rtl w:val="true"/>
        </w:rPr>
        <w:t xml:space="preserve">, </w:t>
      </w:r>
      <w:r>
        <w:rPr>
          <w:rtl w:val="true"/>
        </w:rPr>
        <w:t xml:space="preserve">יאסר למשך 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הנאשם ימצא בפיקוח שירות המבחן למשך שנה מהיום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לצורך זאת עליו לחתום על צו מבחן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מוסבר לנאשם כי אם לא יעמוד בתנאי הצו</w:t>
      </w:r>
      <w:r>
        <w:rPr>
          <w:rtl w:val="true"/>
        </w:rPr>
        <w:t xml:space="preserve">, </w:t>
      </w:r>
      <w:r>
        <w:rPr>
          <w:rtl w:val="true"/>
        </w:rPr>
        <w:t>ניתן יהיה להפקיעו ולגזור דינו לרכיבי ענישה נוספים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זכות ערעור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#9#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כסלו תשע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b/>
          <w:bCs/>
          <w:rtl w:val="true"/>
        </w:rPr>
        <w:t xml:space="preserve">, </w:t>
      </w:r>
      <w:r>
        <w:rPr/>
        <w:t>25/11/2014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רובין לביא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שופטת בכירה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  <w:szCs w:val="24"/>
        </w:rPr>
      </w:pPr>
      <w:r>
        <w:rPr>
          <w:b/>
          <w:bCs/>
          <w:szCs w:val="24"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#7#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4"/>
          <w:u w:val="single"/>
        </w:rPr>
      </w:pPr>
      <w:r>
        <w:rPr>
          <w:rFonts w:cs="Arial" w:ascii="Arial" w:hAnsi="Arial"/>
          <w:b/>
          <w:bCs/>
          <w:sz w:val="28"/>
          <w:szCs w:val="24"/>
          <w:u w:val="single"/>
          <w:rtl w:val="true"/>
        </w:rPr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  <w:t>הסמים והמוצגים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יושמדו</w:t>
      </w:r>
      <w:r>
        <w:rPr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#8#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כסלו תשע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b/>
          <w:bCs/>
          <w:rtl w:val="true"/>
        </w:rPr>
        <w:t xml:space="preserve">, </w:t>
      </w:r>
      <w:r>
        <w:rPr/>
        <w:t>25/11/2014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רובין לביא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שופטת בכירה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  <w:t xml:space="preserve"> </w:t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#10#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  <w:t>לבקשת הנאשם</w:t>
      </w:r>
      <w:r>
        <w:rPr>
          <w:szCs w:val="24"/>
          <w:rtl w:val="true"/>
        </w:rPr>
        <w:t xml:space="preserve">,  </w:t>
      </w:r>
      <w:r>
        <w:rPr>
          <w:szCs w:val="24"/>
          <w:rtl w:val="true"/>
        </w:rPr>
        <w:t xml:space="preserve">הפקדון בסך של </w:t>
      </w:r>
      <w:r>
        <w:rPr>
          <w:szCs w:val="24"/>
        </w:rPr>
        <w:t>2000</w:t>
      </w:r>
      <w:r>
        <w:rPr>
          <w:szCs w:val="24"/>
          <w:rtl w:val="true"/>
        </w:rPr>
        <w:t xml:space="preserve"> ₪ </w:t>
      </w:r>
      <w:r>
        <w:rPr>
          <w:szCs w:val="24"/>
          <w:rtl w:val="true"/>
        </w:rPr>
        <w:t>יקוזז מהקנס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והיתרה תשולם ב</w:t>
      </w:r>
      <w:r>
        <w:rPr>
          <w:szCs w:val="24"/>
          <w:rtl w:val="true"/>
        </w:rPr>
        <w:t xml:space="preserve">- </w:t>
      </w:r>
      <w:r>
        <w:rPr>
          <w:szCs w:val="24"/>
        </w:rPr>
        <w:t>4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תשלומים כמפורט בגזר הדין</w:t>
      </w:r>
      <w:r>
        <w:rPr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  <w:t xml:space="preserve">הואיל והסניגור שוקל אפשרות להגיש ערעור 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אני מעכבת מועד  תחילת הנשיאה במאסר ב</w:t>
      </w:r>
      <w:r>
        <w:rPr>
          <w:szCs w:val="24"/>
          <w:rtl w:val="true"/>
        </w:rPr>
        <w:t xml:space="preserve">- </w:t>
      </w:r>
      <w:r>
        <w:rPr>
          <w:szCs w:val="24"/>
        </w:rPr>
        <w:t>2.12.14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בתנאים כדלקמן</w:t>
      </w:r>
      <w:r>
        <w:rPr>
          <w:szCs w:val="24"/>
          <w:rtl w:val="true"/>
        </w:rPr>
        <w:t>:</w:t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Cs w:val="24"/>
        </w:rPr>
      </w:pPr>
      <w:r>
        <w:rPr>
          <w:szCs w:val="24"/>
        </w:rPr>
        <w:t>1</w:t>
      </w:r>
      <w:r>
        <w:rPr>
          <w:szCs w:val="24"/>
          <w:rtl w:val="true"/>
        </w:rPr>
        <w:t>.</w:t>
        <w:tab/>
      </w:r>
      <w:r>
        <w:rPr>
          <w:szCs w:val="24"/>
          <w:rtl w:val="true"/>
        </w:rPr>
        <w:t>הערבויות שניתנו יבטיחו יתיצבותו לדיון בערעור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אם יוגש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</w:t>
      </w:r>
      <w:r>
        <w:rPr>
          <w:szCs w:val="24"/>
          <w:rtl w:val="true"/>
        </w:rPr>
        <w:t>/</w:t>
      </w:r>
      <w:r>
        <w:rPr>
          <w:szCs w:val="24"/>
          <w:rtl w:val="true"/>
        </w:rPr>
        <w:t>או מאסר לכשיקבע מועד אחר</w:t>
      </w:r>
      <w:r>
        <w:rPr>
          <w:szCs w:val="24"/>
          <w:rtl w:val="true"/>
        </w:rPr>
        <w:t xml:space="preserve">.  </w:t>
      </w:r>
    </w:p>
    <w:p>
      <w:pPr>
        <w:pStyle w:val="Normal"/>
        <w:ind w:hanging="720" w:start="720" w:end="0"/>
        <w:jc w:val="both"/>
        <w:rPr>
          <w:szCs w:val="24"/>
        </w:rPr>
      </w:pPr>
      <w:r>
        <w:rPr>
          <w:szCs w:val="24"/>
        </w:rPr>
        <w:t>2</w:t>
      </w:r>
      <w:r>
        <w:rPr>
          <w:szCs w:val="24"/>
          <w:rtl w:val="true"/>
        </w:rPr>
        <w:t>.</w:t>
        <w:tab/>
      </w:r>
      <w:r>
        <w:rPr>
          <w:szCs w:val="24"/>
          <w:rtl w:val="true"/>
        </w:rPr>
        <w:t>עיכוב יציאה מן הארץ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לצורך זאת יפקיד דרכונו במזכירות בית המשפט  וצו העיכוב יצא כבר היום</w:t>
      </w:r>
      <w:r>
        <w:rPr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  <w:t>אם לא יוגש ערעור ולא תצא החלטה נוספת ה</w:t>
      </w:r>
      <w:bookmarkStart w:id="11" w:name="_GoBack"/>
      <w:bookmarkEnd w:id="11"/>
      <w:r>
        <w:rPr>
          <w:szCs w:val="24"/>
          <w:rtl w:val="true"/>
        </w:rPr>
        <w:t>מעכבת המאסר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עליו להתיצב בפני </w:t>
      </w:r>
      <w:r>
        <w:rPr>
          <w:szCs w:val="24"/>
          <w:rtl w:val="true"/>
        </w:rPr>
        <w:t>המפקח על עבודות השירות לצורך קליטה והצבה במפקדת גוש דרום ב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ש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ביום </w:t>
      </w:r>
      <w:r>
        <w:rPr>
          <w:szCs w:val="24"/>
        </w:rPr>
        <w:t>8.1.15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 xml:space="preserve">שעה </w:t>
      </w:r>
      <w:r>
        <w:rPr>
          <w:szCs w:val="24"/>
        </w:rPr>
        <w:t>08:00</w:t>
      </w:r>
      <w:r>
        <w:rPr>
          <w:szCs w:val="24"/>
          <w:rtl w:val="true"/>
        </w:rPr>
        <w:t>.</w:t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#11#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כסלו תשע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b/>
          <w:bCs/>
          <w:rtl w:val="true"/>
        </w:rPr>
        <w:t xml:space="preserve">, </w:t>
      </w:r>
      <w:r>
        <w:rPr/>
        <w:t>25/11/2014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רובין לביא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שופטת בכירה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#12#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המזכירות תשלח מיד ההחלטה לביקורת הגבולות ואתיר לנאשם להמציא למזכירות הדרכון לא יאוחר מהיום בשעה </w:t>
      </w:r>
      <w:r>
        <w:rPr/>
        <w:t>16:00</w:t>
      </w:r>
      <w:r>
        <w:rPr>
          <w:rtl w:val="true"/>
        </w:rPr>
        <w:t xml:space="preserve">. </w:t>
      </w:r>
      <w:r>
        <w:rPr>
          <w:rtl w:val="true"/>
        </w:rPr>
        <w:t>אם לא יעשה כן</w:t>
      </w:r>
      <w:r>
        <w:rPr>
          <w:rtl w:val="true"/>
        </w:rPr>
        <w:t xml:space="preserve">, </w:t>
      </w:r>
      <w:r>
        <w:rPr>
          <w:rtl w:val="true"/>
        </w:rPr>
        <w:t>תצא פקודת מאסר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 והודעה היום ג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כסלו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25/11/2014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רובין לביא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שופטת בכירה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  <w:t xml:space="preserve"> </w:t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רובין לביא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szCs w:val="24"/>
          <w:u w:val="single"/>
        </w:rPr>
      </w:pPr>
      <w:hyperlink r:id="rId15">
        <w:r>
          <w:rPr>
            <w:rStyle w:val="Hyperlink"/>
            <w:color w:val="0000FF"/>
            <w:szCs w:val="24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6"/>
      <w:footerReference w:type="default" r:id="rId1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Cs w:val="24"/>
      </w:rPr>
    </w:pPr>
    <w:r>
      <w:rPr>
        <w:rFonts w:cs="FrankRuehl" w:ascii="FrankRuehl" w:hAnsi="FrankRuehl"/>
        <w:szCs w:val="24"/>
        <w:rtl w:val="true"/>
      </w:rPr>
      <w:fldChar w:fldCharType="begin"/>
    </w:r>
    <w:r>
      <w:rPr>
        <w:rtl w:val="true"/>
        <w:szCs w:val="24"/>
        <w:rFonts w:cs="FrankRuehl" w:ascii="FrankRuehl" w:hAnsi="FrankRuehl"/>
      </w:rPr>
      <w:instrText xml:space="preserve"> PAGE </w:instrText>
    </w:r>
    <w:r>
      <w:rPr>
        <w:rtl w:val="true"/>
        <w:szCs w:val="24"/>
        <w:rFonts w:cs="FrankRuehl" w:ascii="FrankRuehl" w:hAnsi="FrankRuehl"/>
      </w:rPr>
      <w:fldChar w:fldCharType="separate"/>
    </w:r>
    <w:r>
      <w:rPr>
        <w:rtl w:val="true"/>
        <w:szCs w:val="24"/>
        <w:rFonts w:cs="FrankRuehl" w:ascii="FrankRuehl" w:hAnsi="FrankRuehl"/>
      </w:rPr>
      <w:t>11</w:t>
    </w:r>
    <w:r>
      <w:rPr>
        <w:rtl w:val="true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ascii="FrankRuehl" w:hAnsi="FrankRuehl" w:cs="FrankRuehl"/>
        <w:color w:val="000000"/>
        <w:szCs w:val="24"/>
      </w:rPr>
    </w:pPr>
    <w:r>
      <w:rPr>
        <w:rFonts w:cs="FrankRuehl" w:ascii="FrankRuehl" w:hAnsi="FrankRuehl"/>
        <w:color w:val="000000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ק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ג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45610-04-14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אור בר עם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jc w:val="both"/>
    </w:pPr>
    <w:rPr>
      <w:rFonts w:ascii="David" w:hAnsi="David" w:eastAsia="David" w:cs="David"/>
      <w:color w:val="auto"/>
      <w:sz w:val="24"/>
      <w:szCs w:val="26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>
      <w:spacing w:lineRule="auto" w:line="240"/>
      <w:jc w:val="start"/>
    </w:pPr>
    <w:rPr>
      <w:rFonts w:ascii="Times New Roman" w:hAnsi="Times New Roman" w:eastAsia="Times New Roman" w:cs="Times New Roman"/>
      <w:b/>
      <w:bCs/>
      <w:szCs w:val="24"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4216" TargetMode="External"/><Relationship Id="rId4" Type="http://schemas.openxmlformats.org/officeDocument/2006/relationships/hyperlink" Target="http://www.nevo.co.il/case/17084501" TargetMode="External"/><Relationship Id="rId5" Type="http://schemas.openxmlformats.org/officeDocument/2006/relationships/hyperlink" Target="http://www.nevo.co.il/case/10459111" TargetMode="External"/><Relationship Id="rId6" Type="http://schemas.openxmlformats.org/officeDocument/2006/relationships/hyperlink" Target="http://www.nevo.co.il/case/5769950" TargetMode="External"/><Relationship Id="rId7" Type="http://schemas.openxmlformats.org/officeDocument/2006/relationships/hyperlink" Target="http://www.nevo.co.il/case/5731123" TargetMode="External"/><Relationship Id="rId8" Type="http://schemas.openxmlformats.org/officeDocument/2006/relationships/hyperlink" Target="http://www.nevo.co.il/case/4044896" TargetMode="External"/><Relationship Id="rId9" Type="http://schemas.openxmlformats.org/officeDocument/2006/relationships/hyperlink" Target="http://www.nevo.co.il/case/4773189" TargetMode="External"/><Relationship Id="rId10" Type="http://schemas.openxmlformats.org/officeDocument/2006/relationships/hyperlink" Target="http://www.nevo.co.il/case/11242383" TargetMode="External"/><Relationship Id="rId11" Type="http://schemas.openxmlformats.org/officeDocument/2006/relationships/hyperlink" Target="http://www.nevo.co.il/case/16952729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4216" TargetMode="External"/><Relationship Id="rId14" Type="http://schemas.openxmlformats.org/officeDocument/2006/relationships/hyperlink" Target="http://www.nevo.co.il/law/4216" TargetMode="External"/><Relationship Id="rId15" Type="http://schemas.openxmlformats.org/officeDocument/2006/relationships/hyperlink" Target="http://www.nevo.co.il/advertisements/nevo-100.doc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2014-12-01T09:18:00Z</dcterms:created>
  <dc:creator> </dc:creator>
  <dc:description/>
  <cp:keywords/>
  <dc:language>en-IL</dc:language>
  <cp:lastModifiedBy>hofit</cp:lastModifiedBy>
  <dcterms:modified xsi:type="dcterms:W3CDTF">2014-12-01T09:18:00Z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אור בר עם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ProcID=209&amp;PartA=1370&amp;PartC=05</vt:lpwstr>
  </property>
  <property fmtid="{D5CDD505-2E9C-101B-9397-08002B2CF9AE}" pid="9" name="CASESLISTTMP1">
    <vt:lpwstr>17084501;10459111;5769950;5731123;4044896;4773189;11242383;16952729</vt:lpwstr>
  </property>
  <property fmtid="{D5CDD505-2E9C-101B-9397-08002B2CF9AE}" pid="10" name="CITY">
    <vt:lpwstr>ק"ג</vt:lpwstr>
  </property>
  <property fmtid="{D5CDD505-2E9C-101B-9397-08002B2CF9AE}" pid="11" name="DATE">
    <vt:lpwstr>20141125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רובין לביא</vt:lpwstr>
  </property>
  <property fmtid="{D5CDD505-2E9C-101B-9397-08002B2CF9AE}" pid="15" name="LAWLISTTMP1">
    <vt:lpwstr>70301</vt:lpwstr>
  </property>
  <property fmtid="{D5CDD505-2E9C-101B-9397-08002B2CF9AE}" pid="16" name="LAWLISTTMP2">
    <vt:lpwstr>4216:2</vt:lpwstr>
  </property>
  <property fmtid="{D5CDD505-2E9C-101B-9397-08002B2CF9AE}" pid="17" name="LAWYER">
    <vt:lpwstr>ענבל אביב;סיוון איתמר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45610</vt:lpwstr>
  </property>
  <property fmtid="{D5CDD505-2E9C-101B-9397-08002B2CF9AE}" pid="24" name="NEWPARTB">
    <vt:lpwstr>04</vt:lpwstr>
  </property>
  <property fmtid="{D5CDD505-2E9C-101B-9397-08002B2CF9AE}" pid="25" name="NEWPARTC">
    <vt:lpwstr>14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TYPE_ABS_DATE">
    <vt:lpwstr>380020141125</vt:lpwstr>
  </property>
  <property fmtid="{D5CDD505-2E9C-101B-9397-08002B2CF9AE}" pid="36" name="TYPE_N_DATE">
    <vt:lpwstr>38020141125</vt:lpwstr>
  </property>
  <property fmtid="{D5CDD505-2E9C-101B-9397-08002B2CF9AE}" pid="37" name="VOLUME">
    <vt:lpwstr/>
  </property>
  <property fmtid="{D5CDD505-2E9C-101B-9397-08002B2CF9AE}" pid="38" name="WORDNUMPAGES">
    <vt:lpwstr>9</vt:lpwstr>
  </property>
</Properties>
</file>