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45713-07-17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רובינוב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end"/>
        <w:rPr>
          <w:rFonts w:ascii="Calibri" w:hAnsi="Calibri" w:cs="Calibri"/>
        </w:rPr>
      </w:pPr>
      <w:r>
        <w:rPr>
          <w:rFonts w:cs="Calibri" w:ascii="Calibri" w:hAnsi="Calibri"/>
        </w:rPr>
        <w:t>23.01.18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כמאל סעב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/>
                <w:bCs/>
                <w:rtl w:val="true"/>
              </w:rPr>
              <w:t xml:space="preserve">ניזמי רובינוב </w:t>
            </w:r>
            <w:r>
              <w:rPr>
                <w:rFonts w:cs="Calibri" w:ascii="Calibri" w:hAnsi="Calibri"/>
                <w:b/>
                <w:bCs/>
                <w:rtl w:val="true"/>
              </w:rPr>
              <w:t>(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>עציר</w:t>
            </w:r>
            <w:r>
              <w:rPr>
                <w:rFonts w:cs="Calibri" w:ascii="Calibri" w:hAnsi="Calibri"/>
                <w:b/>
                <w:bCs/>
                <w:rtl w:val="true"/>
              </w:rPr>
              <w:t>)</w:t>
            </w:r>
            <w:r>
              <w:rPr>
                <w:rFonts w:cs="Calibri" w:ascii="Calibri" w:hAnsi="Calibri"/>
                <w:b/>
                <w:bCs/>
                <w:rtl w:val="true"/>
              </w:rPr>
              <w:t xml:space="preserve">, 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>ת</w:t>
            </w:r>
            <w:r>
              <w:rPr>
                <w:rFonts w:cs="Calibri" w:ascii="Calibri" w:hAnsi="Calibri"/>
                <w:b/>
                <w:bCs/>
                <w:rtl w:val="true"/>
              </w:rPr>
              <w:t>.</w:t>
            </w:r>
            <w:r>
              <w:rPr>
                <w:rFonts w:ascii="Calibri" w:hAnsi="Calibri" w:cs="Calibri"/>
                <w:b/>
                <w:b/>
                <w:bCs/>
                <w:rtl w:val="true"/>
              </w:rPr>
              <w:t xml:space="preserve">ז </w:t>
            </w:r>
            <w:r>
              <w:rPr>
                <w:rFonts w:cs="Calibri" w:ascii="Calibri" w:hAnsi="Calibri"/>
                <w:b/>
                <w:bCs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before="0" w:after="160"/>
        <w:ind w:end="0"/>
        <w:jc w:val="start"/>
        <w:rPr>
          <w:rFonts w:ascii="Calibri" w:hAnsi="Calibri" w:cs="Calibri"/>
        </w:rPr>
      </w:pPr>
      <w:bookmarkStart w:id="2" w:name="FirstLawyer"/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bookmarkEnd w:id="2"/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אליאל</w:t>
      </w:r>
    </w:p>
    <w:p>
      <w:pPr>
        <w:pStyle w:val="Normal"/>
        <w:spacing w:before="0" w:after="160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אלימלך</w:t>
      </w:r>
      <w:r>
        <w:rPr>
          <w:rFonts w:ascii="Calibri" w:hAnsi="Calibri" w:cs="Calibri"/>
          <w:rtl w:val="true"/>
        </w:rPr>
        <w:t xml:space="preserve"> 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התעבורה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63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ביטוח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רכב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מנועי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פתח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cs="Calibri" w:ascii="Calibri" w:hAnsi="Calibri"/>
          <w:b/>
          <w:bCs/>
          <w:u w:val="single"/>
          <w:rtl w:val="true"/>
        </w:rPr>
        <w:t>: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6" w:name="ABSTRACT_START"/>
      <w:bookmarkEnd w:id="6"/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1981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אבזר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ותחמושת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-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");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בתוקף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hyperlink r:id="rId16">
        <w:r>
          <w:rPr>
            <w:rStyle w:val="Hyperlink"/>
            <w:rFonts w:cs="Calibri" w:ascii="Calibri" w:hAnsi="Calibri"/>
            <w:color w:val="0000FF"/>
            <w:u w:val="single"/>
          </w:rPr>
          <w:t>63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התעבורה</w:t>
        </w:r>
      </w:hyperlink>
      <w:r>
        <w:rPr>
          <w:rFonts w:cs="Calibri" w:ascii="Calibri" w:hAnsi="Calibri"/>
          <w:rtl w:val="true"/>
        </w:rPr>
        <w:t>, 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התשכ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1961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פקודת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");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ביטוח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סעיפים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 +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ביטוח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רכב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מנועי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התש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1970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פזיזה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bookmarkStart w:id="7" w:name="ABSTRACT_END"/>
      <w:bookmarkEnd w:id="7"/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שבמסגרתו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מכפירתו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</w:t>
      </w:r>
      <w:r>
        <w:rPr>
          <w:rFonts w:ascii="Calibri" w:hAnsi="Calibri" w:cs="Calibri"/>
          <w:rtl w:val="true"/>
        </w:rPr>
        <w:t xml:space="preserve">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 הסדר הטיעון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10.7.17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הבוקר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הרכב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פוליסת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ובפראות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לכיכר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הלבושים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איבדו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תנגש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התאונה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מהתאונה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התאונה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המדרכה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והכדורים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מהמדרכה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מהשוטרים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כשבמהלך ההימלטות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וכיוונו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שצעקו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זרוק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הפלאפון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וכפפה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firstLine="720" w:end="0"/>
        <w:jc w:val="start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להילחם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התרבו לאחרונה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נגזרות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עושי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במקרים מסוימים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סחיטה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וכו</w:t>
      </w:r>
      <w:r>
        <w:rPr>
          <w:rFonts w:cs="Calibri" w:ascii="Calibri" w:hAnsi="Calibri"/>
          <w:rtl w:val="true"/>
        </w:rPr>
        <w:t>'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13.10.16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50340-12-12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>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לרישו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2000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חציית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כברמזור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מותקנת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ההפרדה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לרשימת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היקפ</w:t>
      </w:r>
      <w:r>
        <w:rPr>
          <w:rFonts w:ascii="Calibri" w:hAnsi="Calibri" w:cs="Calibri"/>
          <w:rtl w:val="true"/>
        </w:rPr>
        <w:t>ן ו</w:t>
      </w:r>
      <w:r>
        <w:rPr>
          <w:rFonts w:ascii="Calibri" w:hAnsi="Calibri" w:cs="Calibri"/>
          <w:rtl w:val="true"/>
        </w:rPr>
        <w:t>אופיי</w:t>
      </w:r>
      <w:r>
        <w:rPr>
          <w:rFonts w:ascii="Calibri" w:hAnsi="Calibri" w:cs="Calibri"/>
          <w:rtl w:val="true"/>
        </w:rPr>
        <w:t>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כותלי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135/17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8.3.17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בסל</w:t>
      </w:r>
      <w:r>
        <w:rPr>
          <w:rFonts w:cs="Calibri" w:ascii="Calibri" w:hAnsi="Calibri"/>
          <w:rtl w:val="true"/>
        </w:rPr>
        <w:t>")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).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4677/15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פאחורי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2.5.16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22085-08-11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אמיר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סגס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15.2.12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19.01.14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פס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והסתייעות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12-36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אותו </w:t>
      </w:r>
      <w:r>
        <w:rPr>
          <w:rFonts w:ascii="Calibri" w:hAnsi="Calibri" w:cs="Calibri"/>
          <w:rtl w:val="true"/>
        </w:rPr>
        <w:t>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העליון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ולהשאיר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והאמל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start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קיצוני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לגישת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start"/>
        <w:rPr/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ביקש שיקבע 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</w:t>
      </w:r>
      <w:r>
        <w:rPr>
          <w:rFonts w:ascii="Calibri" w:hAnsi="Calibri" w:cs="Calibri"/>
          <w:rtl w:val="true"/>
        </w:rPr>
        <w:t>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כנרדף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לא 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תוך ביצוע 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 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מצוקה </w:t>
      </w:r>
      <w:r>
        <w:rPr>
          <w:rFonts w:ascii="Calibri" w:hAnsi="Calibri" w:cs="Calibri"/>
          <w:rtl w:val="true"/>
        </w:rPr>
        <w:t>והסכנה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שנחשף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כשכל זה היה ברקע לביצוע 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 ביקש להזכיר כי הנאשם 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 מרדף 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שבסופו הוא 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כשהשוטר אמר לו לעצור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47548-07-15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ראד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29.3.16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</w:t>
      </w:r>
      <w:r>
        <w:rPr>
          <w:rFonts w:ascii="Calibri" w:hAnsi="Calibri" w:cs="Calibri"/>
          <w:rtl w:val="true"/>
        </w:rPr>
        <w:t>והשני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שבסה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9111-02-15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חסארמה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20.9.15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הוסיף הסנגור והפנה לכך ש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חסארמה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חסארמה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במנוסה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 הפנה הסנגור ל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9179-04-16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חסארמה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11.12.16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 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על גזר הדין הזה אליו הפנה 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הוגש ערעור על חומרת העונש לבית המשפט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שנדחה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 xml:space="preserve">ראו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611/17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חסארמה נגד 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27.2.17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המחנכת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והמדריכה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בפתאומיות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ו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 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 הנאשם אינו 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 ש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שמציעים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תוך שהוא מדגיש את העובדה שהנאשם הוא האדם 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אג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ורפואית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מצבה בכי רע ומתקשה לתפקד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דרקוני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גישתו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כדי להרתיעו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אך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>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החולה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start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דברי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פוליסת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רשלנית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קולמוסין רבים נכתבו על 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כשבחלק מפסיקת בתי המשפט הוגדרה התופעה 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זאת בשל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הנלוות או אלו המהוות פועל יוצא מהן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לעניין החשש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 דכפין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ביטחון ה</w:t>
      </w:r>
      <w:r>
        <w:rPr>
          <w:rFonts w:ascii="Calibri" w:hAnsi="Calibri" w:cs="Calibri"/>
          <w:rtl w:val="true"/>
        </w:rPr>
        <w:t>ציבור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4460/11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פאיד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28.11.11</w:t>
      </w:r>
      <w:r>
        <w:rPr>
          <w:rFonts w:cs="Calibri" w:ascii="Calibri" w:hAnsi="Calibri"/>
          <w:rtl w:val="true"/>
        </w:rPr>
        <w:t>);</w:t>
      </w:r>
      <w:r>
        <w:rPr>
          <w:rFonts w:cs="Calibri" w:ascii="Calibri" w:hAnsi="Calibri"/>
          <w:rtl w:val="true"/>
        </w:rPr>
        <w:t xml:space="preserve">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2251/11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נפאע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4.12.11</w:t>
      </w:r>
      <w:r>
        <w:rPr>
          <w:rFonts w:cs="Calibri" w:ascii="Calibri" w:hAnsi="Calibri"/>
          <w:rtl w:val="true"/>
        </w:rPr>
        <w:t xml:space="preserve">);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318/11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5.12.11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4450/11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עספור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8.2.12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וכך נאמר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בפסיקתנו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המבוצעות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מושפעת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הטמון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ומהעברתו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בבוא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לגזור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להתחשב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המיוחדת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שבעבירה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דעתו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כמותו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התכלית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שלשמה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טיבו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התקפי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עוצמה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להביא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הבחנה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מיוחדת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" -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1332/04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7384/07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ליזמי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6.3.08</w:t>
      </w:r>
      <w:r>
        <w:rPr>
          <w:rtl w:val="true"/>
        </w:rPr>
        <w:t xml:space="preserve">);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3361/08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ליבוביץ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27.7.08</w:t>
      </w:r>
      <w:r>
        <w:rPr>
          <w:rFonts w:cs="Calibri" w:ascii="Calibri" w:hAnsi="Calibri"/>
          <w:rtl w:val="true"/>
        </w:rPr>
        <w:t xml:space="preserve">); 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5220/09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עוואודה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30.12.09</w:t>
      </w:r>
      <w:r>
        <w:rPr>
          <w:rFonts w:cs="Calibri" w:ascii="Calibri" w:hAnsi="Calibri"/>
          <w:rtl w:val="true"/>
        </w:rPr>
        <w:t xml:space="preserve">);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8416/09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חרבוש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9.6.10</w:t>
      </w:r>
      <w:r>
        <w:rPr>
          <w:rFonts w:cs="Calibri" w:ascii="Calibri" w:hAnsi="Calibri"/>
          <w:rtl w:val="true"/>
        </w:rPr>
        <w:t xml:space="preserve">);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4460/11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פאיד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28.11.11</w:t>
      </w:r>
      <w:r>
        <w:rPr>
          <w:rFonts w:cs="Calibri" w:ascii="Calibri" w:hAnsi="Calibri"/>
          <w:rtl w:val="true"/>
        </w:rPr>
        <w:t xml:space="preserve">); </w:t>
      </w:r>
      <w:hyperlink r:id="rId3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4154/16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Miriam" w:hAnsi="Miriam" w:cs="Miriam"/>
          <w:b/>
          <w:b/>
          <w:bCs/>
          <w:rtl w:val="true"/>
        </w:rPr>
        <w:t>דהוד</w:t>
      </w:r>
      <w:r>
        <w:rPr>
          <w:rFonts w:ascii="Miriam" w:hAnsi="Miriam" w:cs="Miriam"/>
          <w:b/>
          <w:b/>
          <w:bCs/>
          <w:rtl w:val="true"/>
        </w:rPr>
        <w:t xml:space="preserve"> </w:t>
      </w:r>
      <w:r>
        <w:rPr>
          <w:rFonts w:ascii="Miriam" w:hAnsi="Miriam" w:cs="Miriam"/>
          <w:b/>
          <w:b/>
          <w:bCs/>
          <w:rtl w:val="true"/>
        </w:rPr>
        <w:t>נ</w:t>
      </w:r>
      <w:r>
        <w:rPr>
          <w:rFonts w:cs="Miriam" w:ascii="Miriam" w:hAnsi="Miriam"/>
          <w:b/>
          <w:bCs/>
          <w:rtl w:val="true"/>
        </w:rPr>
        <w:t xml:space="preserve">' </w:t>
      </w:r>
      <w:r>
        <w:rPr>
          <w:rFonts w:ascii="Miriam" w:hAnsi="Miriam" w:cs="Miriam"/>
          <w:b/>
          <w:b/>
          <w:bCs/>
          <w:rtl w:val="true"/>
        </w:rPr>
        <w:t>מדינת</w:t>
      </w:r>
      <w:r>
        <w:rPr>
          <w:rFonts w:ascii="Miriam" w:hAnsi="Miriam" w:cs="Miriam"/>
          <w:b/>
          <w:b/>
          <w:bCs/>
          <w:rtl w:val="true"/>
        </w:rPr>
        <w:t xml:space="preserve"> </w:t>
      </w:r>
      <w:r>
        <w:rPr>
          <w:rFonts w:ascii="Miriam" w:hAnsi="Miriam" w:cs="Miriam"/>
          <w:b/>
          <w:b/>
          <w:bCs/>
          <w:rtl w:val="true"/>
        </w:rPr>
        <w:t>ישראל</w:t>
      </w:r>
      <w:r>
        <w:rPr>
          <w:rFonts w:cs="Miriam" w:ascii="Miriam" w:hAnsi="Miriam"/>
          <w:rtl w:val="true"/>
        </w:rPr>
        <w:t xml:space="preserve">,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ניתן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ביום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cs="FrankRuehl" w:ascii="FrankRuehl" w:hAnsi="FrankRuehl"/>
        </w:rPr>
        <w:t>19.1.17</w:t>
      </w:r>
      <w:r>
        <w:rPr>
          <w:rFonts w:cs="FrankRuehl" w:ascii="FrankRuehl" w:hAnsi="FrankRuehl"/>
          <w:rtl w:val="true"/>
        </w:rPr>
        <w:t xml:space="preserve">); </w:t>
      </w:r>
      <w:hyperlink r:id="rId4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1397/16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Miriam" w:hAnsi="Miriam" w:cs="Miriam"/>
          <w:b/>
          <w:b/>
          <w:bCs/>
          <w:rtl w:val="true"/>
        </w:rPr>
        <w:t>מדינת</w:t>
      </w:r>
      <w:r>
        <w:rPr>
          <w:rFonts w:ascii="Miriam" w:hAnsi="Miriam" w:cs="Miriam"/>
          <w:b/>
          <w:b/>
          <w:bCs/>
          <w:rtl w:val="true"/>
        </w:rPr>
        <w:t xml:space="preserve"> </w:t>
      </w:r>
      <w:r>
        <w:rPr>
          <w:rFonts w:ascii="Miriam" w:hAnsi="Miriam" w:cs="Miriam"/>
          <w:b/>
          <w:b/>
          <w:bCs/>
          <w:rtl w:val="true"/>
        </w:rPr>
        <w:t>ישראל</w:t>
      </w:r>
      <w:r>
        <w:rPr>
          <w:rFonts w:ascii="Miriam" w:hAnsi="Miriam" w:cs="Miriam"/>
          <w:b/>
          <w:b/>
          <w:bCs/>
          <w:rtl w:val="true"/>
        </w:rPr>
        <w:t xml:space="preserve"> </w:t>
      </w:r>
      <w:r>
        <w:rPr>
          <w:rFonts w:ascii="Miriam" w:hAnsi="Miriam" w:cs="Miriam"/>
          <w:b/>
          <w:b/>
          <w:bCs/>
          <w:rtl w:val="true"/>
        </w:rPr>
        <w:t>נ</w:t>
      </w:r>
      <w:r>
        <w:rPr>
          <w:rFonts w:cs="Miriam" w:ascii="Miriam" w:hAnsi="Miriam"/>
          <w:b/>
          <w:bCs/>
          <w:rtl w:val="true"/>
        </w:rPr>
        <w:t xml:space="preserve">' </w:t>
      </w:r>
      <w:r>
        <w:rPr>
          <w:rFonts w:ascii="Miriam" w:hAnsi="Miriam" w:cs="Miriam"/>
          <w:b/>
          <w:b/>
          <w:bCs/>
          <w:rtl w:val="true"/>
        </w:rPr>
        <w:t>חמאיל</w:t>
      </w:r>
      <w:r>
        <w:rPr>
          <w:rFonts w:cs="Miriam" w:ascii="Miriam" w:hAnsi="Miriam"/>
          <w:b/>
          <w:bCs/>
          <w:rtl w:val="true"/>
        </w:rPr>
        <w:t>,</w:t>
      </w:r>
      <w:r>
        <w:rPr>
          <w:rFonts w:cs="Miriam" w:ascii="Miriam" w:hAnsi="Miriam"/>
          <w:rtl w:val="true"/>
        </w:rPr>
        <w:t xml:space="preserve">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ניתן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ביום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cs="FrankRuehl" w:ascii="FrankRuehl" w:hAnsi="FrankRuehl"/>
        </w:rPr>
        <w:t>12.9.16</w:t>
      </w:r>
      <w:r>
        <w:rPr>
          <w:rFonts w:cs="FrankRuehl" w:ascii="FrankRuehl" w:hAnsi="FrankRuehl"/>
          <w:rtl w:val="true"/>
        </w:rPr>
        <w:t xml:space="preserve">).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זכתה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 כי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cs="Calibri" w:ascii="Calibri" w:hAnsi="Calibri"/>
          <w:b/>
          <w:bCs/>
          <w:spacing w:val="10"/>
          <w:rtl w:val="true"/>
        </w:rPr>
        <w:t>"</w:t>
      </w:r>
      <w:r>
        <w:rPr>
          <w:rFonts w:ascii="Calibri" w:hAnsi="Calibri" w:cs="Calibri"/>
          <w:b/>
          <w:b/>
          <w:bCs/>
          <w:spacing w:val="10"/>
          <w:rtl w:val="true"/>
        </w:rPr>
        <w:t>נוכח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היקפן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המתרחב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של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עבירות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המבוצעות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בנשק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בכלל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וסחר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בנשק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בפרט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וזמינותו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המדאיגה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של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נשק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בלתי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חוקי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במחוזותינו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התעורר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הצורך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להחמיר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בעונשי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המאסר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המוטלים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בעבירות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אלה</w:t>
      </w:r>
      <w:r>
        <w:rPr>
          <w:rFonts w:cs="Calibri" w:ascii="Calibri" w:hAnsi="Calibri"/>
          <w:b/>
          <w:bCs/>
          <w:spacing w:val="10"/>
          <w:rtl w:val="true"/>
        </w:rPr>
        <w:t xml:space="preserve">. </w:t>
      </w:r>
      <w:r>
        <w:rPr>
          <w:rFonts w:ascii="Calibri" w:hAnsi="Calibri" w:cs="Calibri"/>
          <w:b/>
          <w:b/>
          <w:bCs/>
          <w:spacing w:val="10"/>
          <w:rtl w:val="true"/>
        </w:rPr>
        <w:t>אכן</w:t>
      </w:r>
      <w:r>
        <w:rPr>
          <w:rFonts w:cs="Calibri" w:ascii="Calibri" w:hAnsi="Calibri"/>
          <w:b/>
          <w:bCs/>
          <w:spacing w:val="10"/>
          <w:rtl w:val="true"/>
        </w:rPr>
        <w:t>, "</w:t>
      </w:r>
      <w:r>
        <w:rPr>
          <w:rFonts w:ascii="Calibri" w:hAnsi="Calibri" w:cs="Calibri"/>
          <w:b/>
          <w:b/>
          <w:bCs/>
          <w:spacing w:val="10"/>
          <w:rtl w:val="true"/>
        </w:rPr>
        <w:t>התגלגלותם</w:t>
      </w:r>
      <w:r>
        <w:rPr>
          <w:rFonts w:cs="Calibri" w:ascii="Calibri" w:hAnsi="Calibri"/>
          <w:b/>
          <w:bCs/>
          <w:spacing w:val="10"/>
          <w:rtl w:val="true"/>
        </w:rPr>
        <w:t xml:space="preserve">" </w:t>
      </w:r>
      <w:r>
        <w:rPr>
          <w:rFonts w:ascii="Calibri" w:hAnsi="Calibri" w:cs="Calibri"/>
          <w:b/>
          <w:b/>
          <w:bCs/>
          <w:spacing w:val="10"/>
          <w:rtl w:val="true"/>
        </w:rPr>
        <w:t>של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כלי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נשק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מיד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ליד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ללא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פיקוח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עלול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להוביל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להגעתם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בדרך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לא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דרך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לגורמים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פליליים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ועוינים</w:t>
      </w:r>
      <w:r>
        <w:rPr>
          <w:rFonts w:cs="Calibri" w:ascii="Calibri" w:hAnsi="Calibri"/>
          <w:b/>
          <w:bCs/>
          <w:spacing w:val="10"/>
          <w:rtl w:val="true"/>
        </w:rPr>
        <w:t xml:space="preserve">. </w:t>
      </w:r>
      <w:r>
        <w:rPr>
          <w:rFonts w:ascii="Calibri" w:hAnsi="Calibri" w:cs="Calibri"/>
          <w:b/>
          <w:b/>
          <w:bCs/>
          <w:spacing w:val="10"/>
          <w:rtl w:val="true"/>
        </w:rPr>
        <w:t>אין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לדעת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מה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יעלה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בגורלם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של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כלי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נשק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אלה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ולאילו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תוצאות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הרסניות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יובילו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– </w:t>
      </w:r>
      <w:r>
        <w:rPr>
          <w:rFonts w:ascii="Calibri" w:hAnsi="Calibri" w:cs="Calibri"/>
          <w:b/>
          <w:b/>
          <w:bCs/>
          <w:spacing w:val="10"/>
          <w:rtl w:val="true"/>
        </w:rPr>
        <w:t>בסכסוך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ברחוב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בקטטה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בין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ניצים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ואף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בתוך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המשפחה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פנימה</w:t>
      </w:r>
      <w:r>
        <w:rPr>
          <w:rFonts w:cs="Calibri" w:ascii="Calibri" w:hAnsi="Calibri"/>
          <w:b/>
          <w:bCs/>
          <w:spacing w:val="10"/>
          <w:rtl w:val="true"/>
        </w:rPr>
        <w:t xml:space="preserve">. </w:t>
      </w:r>
      <w:r>
        <w:rPr>
          <w:rFonts w:ascii="Calibri" w:hAnsi="Calibri" w:cs="Calibri"/>
          <w:b/>
          <w:b/>
          <w:bCs/>
          <w:spacing w:val="10"/>
          <w:rtl w:val="true"/>
        </w:rPr>
        <w:t>הסכנה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הנשקפת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לציבור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כתוצאה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מעבירות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אלה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לצד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המימדים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שאליהם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הגיעו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מחייבים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לתת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ביטוי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הולם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וכבד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משקל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להגנה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על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הערך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החברתי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שנפגע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כתוצאה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מפעילות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עבריינית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זאת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הגנה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על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שלום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הציבור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מפני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פגיעות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בגוף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או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בנפש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ולהחמיר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את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עונשי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המאסר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המוטלים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בגין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פעילות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עבריינית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זאת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בהדרגה</w:t>
      </w:r>
      <w:r>
        <w:rPr>
          <w:rFonts w:cs="Calibri" w:ascii="Calibri" w:hAnsi="Calibri"/>
          <w:b/>
          <w:bCs/>
          <w:spacing w:val="10"/>
          <w:rtl w:val="true"/>
        </w:rPr>
        <w:t xml:space="preserve">. </w:t>
      </w:r>
      <w:r>
        <w:rPr>
          <w:rFonts w:ascii="Calibri" w:hAnsi="Calibri" w:cs="Calibri"/>
          <w:b/>
          <w:b/>
          <w:bCs/>
          <w:spacing w:val="10"/>
          <w:rtl w:val="true"/>
        </w:rPr>
        <w:t>למותר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לציין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כי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אין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בכך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כדי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לחתור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תחת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האופי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האינדיבידואלי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שבמלאכת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הענישה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הנעשית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כל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מקרה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לגופו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לפי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נסיבותיו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ומידת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אשמו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של</w:t>
      </w:r>
      <w:r>
        <w:rPr>
          <w:rFonts w:ascii="Calibri" w:hAnsi="Calibri" w:cs="Calibri"/>
          <w:b/>
          <w:b/>
          <w:bCs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spacing w:val="10"/>
          <w:rtl w:val="true"/>
        </w:rPr>
        <w:t>הנאשם</w:t>
      </w:r>
      <w:r>
        <w:rPr>
          <w:rFonts w:cs="Calibri" w:ascii="Calibri" w:hAnsi="Calibri"/>
          <w:b/>
          <w:bCs/>
          <w:spacing w:val="10"/>
          <w:rtl w:val="true"/>
        </w:rPr>
        <w:t xml:space="preserve">".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מיותר להזכיר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hyperlink r:id="rId43">
        <w:r>
          <w:rPr>
            <w:rStyle w:val="Hyperlink"/>
            <w:rFonts w:cs="Calibri" w:ascii="Calibri" w:hAnsi="Calibri"/>
            <w:color w:val="0000FF"/>
            <w:u w:val="single"/>
          </w:rPr>
          <w:t>63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התעבורה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מינימום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אותה </w:t>
      </w:r>
      <w:r>
        <w:rPr>
          <w:rFonts w:ascii="Calibri" w:hAnsi="Calibri" w:cs="Calibri"/>
          <w:rtl w:val="true"/>
        </w:rPr>
        <w:t>פקודה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ascii="Calibri" w:hAnsi="Calibri" w:cs="Calibri"/>
          <w:rtl w:val="true"/>
        </w:rPr>
        <w:t xml:space="preserve">  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46">
        <w:r>
          <w:rPr>
            <w:rStyle w:val="Hyperlink"/>
            <w:rFonts w:cs="David" w:ascii="Calibri" w:hAnsi="Calibri"/>
          </w:rPr>
          <w:t>2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א</w:t>
        </w:r>
        <w:r>
          <w:rPr>
            <w:rStyle w:val="Hyperlink"/>
            <w:rFonts w:cs="David" w:ascii="Calibri" w:hAnsi="Calibri"/>
            <w:rtl w:val="true"/>
          </w:rPr>
          <w:t>) + (</w:t>
        </w:r>
        <w:r>
          <w:rPr>
            <w:rStyle w:val="Hyperlink"/>
            <w:rFonts w:ascii="Calibri" w:hAnsi="Calibri"/>
            <w:rtl w:val="true"/>
          </w:rPr>
          <w:t>ב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7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338</w:t>
        </w:r>
        <w:r>
          <w:rPr>
            <w:rStyle w:val="Hyperlink"/>
            <w:rFonts w:cs="David" w:ascii="Calibri" w:hAnsi="Calibri"/>
            <w:rtl w:val="true"/>
          </w:rPr>
          <w:t>(</w:t>
        </w:r>
        <w:r>
          <w:rPr>
            <w:rStyle w:val="Hyperlink"/>
            <w:rFonts w:ascii="Calibri" w:hAnsi="Calibri"/>
            <w:rtl w:val="true"/>
          </w:rPr>
          <w:t>א</w:t>
        </w:r>
        <w:r>
          <w:rPr>
            <w:rStyle w:val="Hyperlink"/>
            <w:rFonts w:cs="David" w:ascii="Calibri" w:hAnsi="Calibri"/>
            <w:rtl w:val="true"/>
          </w:rPr>
          <w:t>)(</w:t>
        </w:r>
        <w:r>
          <w:rPr>
            <w:rStyle w:val="Hyperlink"/>
            <w:rFonts w:cs="David" w:ascii="Calibri" w:hAnsi="Calibri"/>
          </w:rPr>
          <w:t>1</w:t>
        </w:r>
        <w:r>
          <w:rPr>
            <w:rStyle w:val="Hyperlink"/>
            <w:rFonts w:cs="David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עניין בסל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מלאכתו הקשה של 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ש בגזירת הדין שאף הוגדרה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כקריעת ים סוף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חייבת להיעשות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ascii="Calibri" w:hAnsi="Calibri" w:cs="Calibri"/>
          <w:rtl w:val="true"/>
        </w:rPr>
        <w:t xml:space="preserve"> ונלוות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כרוכות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בהפחדה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במקרים מסוימים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8416/09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מחמוד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חרבוש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9.6.10</w:t>
      </w:r>
      <w:r>
        <w:rPr>
          <w:rFonts w:cs="Calibri" w:ascii="Calibri" w:hAnsi="Calibri"/>
          <w:rtl w:val="true"/>
        </w:rPr>
        <w:t xml:space="preserve">); 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7955/06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מיסור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כרכור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1.1.07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ופוליסת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ובזכותו להשתמש בדרכים בבטחה וללא חשש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דבר הפוגע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ומוסיף נופך מסוים לחומרת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- </w:t>
      </w:r>
      <w:r>
        <w:rPr>
          <w:rtl w:val="true"/>
        </w:rPr>
        <w:t>כשלעניין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22.02.07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4329/10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14.11.10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צדוק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17.11.13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2398/14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אלהוזייל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8.7.14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; 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4435/11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מרזוק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1.7.12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עניין סולימאן</w:t>
      </w:r>
      <w:r>
        <w:rPr>
          <w:rFonts w:ascii="Calibri" w:hAnsi="Calibri" w:cs="Calibri"/>
          <w:rtl w:val="true"/>
        </w:rPr>
        <w:t xml:space="preserve"> וכן </w:t>
      </w:r>
      <w:r>
        <w:rPr>
          <w:rFonts w:ascii="Calibri" w:hAnsi="Calibri" w:cs="Calibri"/>
          <w:b/>
          <w:b/>
          <w:bCs/>
          <w:rtl w:val="true"/>
        </w:rPr>
        <w:t>עניין בסל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ראו 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hyperlink r:id="rId56">
        <w:r>
          <w:rPr>
            <w:rStyle w:val="Hyperlink"/>
            <w:rFonts w:ascii="Calibri" w:hAnsi="Calibri" w:cs="Calibri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pacing w:val="10"/>
            <w:u w:val="single"/>
          </w:rPr>
          <w:t>8133/15</w:t>
        </w:r>
      </w:hyperlink>
      <w:r>
        <w:rPr>
          <w:rFonts w:cs="Calibri" w:ascii="Calibri" w:hAnsi="Calibri"/>
          <w:spacing w:val="10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יונס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spacing w:val="10"/>
          <w:rtl w:val="true"/>
        </w:rPr>
        <w:t>(</w:t>
      </w:r>
      <w:r>
        <w:rPr>
          <w:rFonts w:ascii="Calibri" w:hAnsi="Calibri" w:cs="Calibri"/>
          <w:spacing w:val="10"/>
          <w:rtl w:val="true"/>
        </w:rPr>
        <w:t>ניתן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ביום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cs="Calibri" w:ascii="Calibri" w:hAnsi="Calibri"/>
          <w:spacing w:val="10"/>
        </w:rPr>
        <w:t>5.4.17</w:t>
      </w:r>
      <w:r>
        <w:rPr>
          <w:rFonts w:cs="Calibri" w:ascii="Calibri" w:hAnsi="Calibri"/>
          <w:spacing w:val="10"/>
          <w:rtl w:val="true"/>
        </w:rPr>
        <w:t>)</w:t>
      </w:r>
      <w:r>
        <w:rPr>
          <w:rFonts w:cs="Calibri" w:ascii="Calibri" w:hAnsi="Calibri"/>
          <w:spacing w:val="10"/>
          <w:rtl w:val="true"/>
        </w:rPr>
        <w:t xml:space="preserve">, </w:t>
      </w:r>
      <w:r>
        <w:rPr>
          <w:rFonts w:ascii="Calibri" w:hAnsi="Calibri" w:cs="Calibri"/>
          <w:spacing w:val="10"/>
          <w:rtl w:val="true"/>
        </w:rPr>
        <w:t>שם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הורשע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המערער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בהחזקה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ונשיאת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נשק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שלא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כדין</w:t>
      </w:r>
      <w:r>
        <w:rPr>
          <w:rFonts w:cs="Calibri" w:ascii="Calibri" w:hAnsi="Calibri"/>
          <w:spacing w:val="10"/>
          <w:rtl w:val="true"/>
        </w:rPr>
        <w:t xml:space="preserve">, </w:t>
      </w:r>
      <w:r>
        <w:rPr>
          <w:rFonts w:ascii="Calibri" w:hAnsi="Calibri" w:cs="Calibri"/>
          <w:spacing w:val="10"/>
          <w:rtl w:val="true"/>
        </w:rPr>
        <w:t>הפרעה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לשוטר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בעת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מילוי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תפקידו</w:t>
      </w:r>
      <w:r>
        <w:rPr>
          <w:rFonts w:cs="Calibri" w:ascii="Calibri" w:hAnsi="Calibri"/>
          <w:spacing w:val="10"/>
          <w:rtl w:val="true"/>
        </w:rPr>
        <w:t xml:space="preserve">, </w:t>
      </w:r>
      <w:r>
        <w:rPr>
          <w:rFonts w:ascii="Calibri" w:hAnsi="Calibri" w:cs="Calibri"/>
          <w:spacing w:val="10"/>
          <w:rtl w:val="true"/>
        </w:rPr>
        <w:t>ועבירות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נהיגה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ללא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רישיון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וללא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פוליסת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ביטוח</w:t>
      </w:r>
      <w:r>
        <w:rPr>
          <w:rFonts w:cs="Calibri" w:ascii="Calibri" w:hAnsi="Calibri"/>
          <w:spacing w:val="10"/>
          <w:rtl w:val="true"/>
        </w:rPr>
        <w:t xml:space="preserve">. </w:t>
      </w:r>
      <w:r>
        <w:rPr>
          <w:rFonts w:ascii="Calibri" w:hAnsi="Calibri" w:cs="Calibri"/>
          <w:spacing w:val="10"/>
          <w:rtl w:val="true"/>
        </w:rPr>
        <w:t>המערער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נהג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ברכב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ללא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רישיון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כשלצדו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נאשם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נוסף</w:t>
      </w:r>
      <w:r>
        <w:rPr>
          <w:rFonts w:cs="Calibri" w:ascii="Calibri" w:hAnsi="Calibri"/>
          <w:spacing w:val="10"/>
          <w:rtl w:val="true"/>
        </w:rPr>
        <w:t xml:space="preserve">. </w:t>
      </w:r>
      <w:r>
        <w:rPr>
          <w:rFonts w:ascii="Calibri" w:hAnsi="Calibri" w:cs="Calibri"/>
          <w:spacing w:val="10"/>
          <w:rtl w:val="true"/>
        </w:rPr>
        <w:t>לאחר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שהבחין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ברכב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משטרה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האיץ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המערער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את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נסיעתו</w:t>
      </w:r>
      <w:r>
        <w:rPr>
          <w:rFonts w:cs="Calibri" w:ascii="Calibri" w:hAnsi="Calibri"/>
          <w:spacing w:val="10"/>
          <w:rtl w:val="true"/>
        </w:rPr>
        <w:t xml:space="preserve">, </w:t>
      </w:r>
      <w:r>
        <w:rPr>
          <w:rFonts w:ascii="Calibri" w:hAnsi="Calibri" w:cs="Calibri"/>
          <w:spacing w:val="10"/>
          <w:rtl w:val="true"/>
        </w:rPr>
        <w:t>פגע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ברכב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המשטרתי</w:t>
      </w:r>
      <w:r>
        <w:rPr>
          <w:rFonts w:cs="Calibri" w:ascii="Calibri" w:hAnsi="Calibri"/>
          <w:spacing w:val="10"/>
          <w:rtl w:val="true"/>
        </w:rPr>
        <w:t xml:space="preserve">, </w:t>
      </w:r>
      <w:r>
        <w:rPr>
          <w:rFonts w:ascii="Calibri" w:hAnsi="Calibri" w:cs="Calibri"/>
          <w:spacing w:val="10"/>
          <w:rtl w:val="true"/>
        </w:rPr>
        <w:t>ולאחר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מכן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עצר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את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רכבו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וברח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מהמקום</w:t>
      </w:r>
      <w:r>
        <w:rPr>
          <w:rFonts w:cs="Calibri" w:ascii="Calibri" w:hAnsi="Calibri"/>
          <w:spacing w:val="10"/>
          <w:rtl w:val="true"/>
        </w:rPr>
        <w:t xml:space="preserve">. </w:t>
      </w:r>
      <w:r>
        <w:rPr>
          <w:rFonts w:ascii="Calibri" w:hAnsi="Calibri" w:cs="Calibri"/>
          <w:spacing w:val="10"/>
          <w:rtl w:val="true"/>
        </w:rPr>
        <w:t>בית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המשפט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המחוזי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העמיד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את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מתחם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העונש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ההולם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על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cs="Calibri" w:ascii="Calibri" w:hAnsi="Calibri"/>
          <w:spacing w:val="10"/>
        </w:rPr>
        <w:t>12</w:t>
      </w:r>
      <w:r>
        <w:rPr>
          <w:rFonts w:cs="Calibri" w:ascii="Calibri" w:hAnsi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עד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cs="Calibri" w:ascii="Calibri" w:hAnsi="Calibri"/>
          <w:spacing w:val="10"/>
        </w:rPr>
        <w:t>36</w:t>
      </w:r>
      <w:r>
        <w:rPr>
          <w:rFonts w:cs="Calibri" w:ascii="Calibri" w:hAnsi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חודשי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מאסר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בפועל</w:t>
      </w:r>
      <w:r>
        <w:rPr>
          <w:rFonts w:cs="Calibri" w:ascii="Calibri" w:hAnsi="Calibri"/>
          <w:spacing w:val="10"/>
          <w:rtl w:val="true"/>
        </w:rPr>
        <w:t xml:space="preserve">, </w:t>
      </w:r>
      <w:r>
        <w:rPr>
          <w:rFonts w:ascii="Calibri" w:hAnsi="Calibri" w:cs="Calibri"/>
          <w:spacing w:val="10"/>
          <w:rtl w:val="true"/>
        </w:rPr>
        <w:t>והשית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על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המערער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עונש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של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cs="Calibri" w:ascii="Calibri" w:hAnsi="Calibri"/>
          <w:spacing w:val="10"/>
        </w:rPr>
        <w:t>14</w:t>
      </w:r>
      <w:r>
        <w:rPr>
          <w:rFonts w:cs="Calibri" w:ascii="Calibri" w:hAnsi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חודשי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מאסר</w:t>
      </w:r>
      <w:r>
        <w:rPr>
          <w:rFonts w:cs="Calibri" w:ascii="Calibri" w:hAnsi="Calibri"/>
          <w:spacing w:val="1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spacing w:val="10"/>
        </w:rPr>
      </w:pPr>
      <w:r>
        <w:rPr>
          <w:rFonts w:cs="Calibri" w:ascii="Calibri" w:hAnsi="Calibri"/>
          <w:spacing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spacing w:val="10"/>
          <w:rtl w:val="true"/>
        </w:rPr>
        <w:t>המדינה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לא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ערערה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על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גזר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הדין</w:t>
      </w:r>
      <w:r>
        <w:rPr>
          <w:rFonts w:cs="Calibri" w:ascii="Calibri" w:hAnsi="Calibri"/>
          <w:spacing w:val="10"/>
          <w:rtl w:val="true"/>
        </w:rPr>
        <w:t xml:space="preserve">, </w:t>
      </w:r>
      <w:r>
        <w:rPr>
          <w:rFonts w:ascii="Calibri" w:hAnsi="Calibri" w:cs="Calibri"/>
          <w:spacing w:val="10"/>
          <w:rtl w:val="true"/>
        </w:rPr>
        <w:t>וערעורו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של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המערער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על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קולת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העונש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נדחה</w:t>
      </w:r>
      <w:r>
        <w:rPr>
          <w:rFonts w:cs="Calibri" w:ascii="Calibri" w:hAnsi="Calibri"/>
          <w:spacing w:val="10"/>
          <w:rtl w:val="true"/>
        </w:rPr>
        <w:t xml:space="preserve">, </w:t>
      </w:r>
      <w:r>
        <w:rPr>
          <w:rFonts w:ascii="Calibri" w:hAnsi="Calibri" w:cs="Calibri"/>
          <w:spacing w:val="10"/>
          <w:rtl w:val="true"/>
        </w:rPr>
        <w:t>תוך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ציון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כי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העונש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שהושת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עליו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נוטה</w:t>
      </w:r>
      <w:r>
        <w:rPr>
          <w:rFonts w:ascii="Calibri" w:hAnsi="Calibri" w:cs="Calibri"/>
          <w:spacing w:val="10"/>
          <w:rtl w:val="true"/>
        </w:rPr>
        <w:t xml:space="preserve"> </w:t>
      </w:r>
      <w:r>
        <w:rPr>
          <w:rFonts w:ascii="Calibri" w:hAnsi="Calibri" w:cs="Calibri"/>
          <w:spacing w:val="10"/>
          <w:rtl w:val="true"/>
        </w:rPr>
        <w:t>לקולא</w:t>
      </w:r>
      <w:r>
        <w:rPr>
          <w:rFonts w:cs="Calibri" w:ascii="Calibri" w:hAnsi="Calibri"/>
          <w:spacing w:val="1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התמקדו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גם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לנהוג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המבטאים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זלזול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ובזולת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אזכיר 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 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 העבירות ה</w:t>
      </w:r>
      <w:r>
        <w:rPr>
          <w:rFonts w:ascii="Calibri" w:hAnsi="Calibri" w:cs="Calibri"/>
          <w:rtl w:val="true"/>
        </w:rPr>
        <w:t>מיוחס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הייתה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 בוצע 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הופנו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 של 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וגם לו דברים אלו היו מוכחים כדבעי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הרי שאין לקבל דרך פעולה זו ולנהוג בניגוד לחוק וכמי שעושה דין לעצמו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מקבלת נופח נוסף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נע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במקרה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דנן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24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עד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48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חודשי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בפועל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מתמשך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אינדיבידואלית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 קביעת ביהמ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העליון 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10444/06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עייני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25.04.07</w:t>
      </w:r>
      <w:r>
        <w:rPr>
          <w:rFonts w:cs="Calibri" w:ascii="Calibri" w:hAnsi="Calibri"/>
          <w:rtl w:val="true"/>
        </w:rPr>
        <w:t xml:space="preserve">); </w:t>
      </w:r>
      <w:hyperlink r:id="rId5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433/89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אטיאס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03.10.89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hyperlink r:id="rId59">
        <w:r>
          <w:rPr>
            <w:rStyle w:val="Hyperlink"/>
            <w:rFonts w:ascii="Calibri" w:hAnsi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40</w:t>
        </w:r>
        <w:r>
          <w:rPr>
            <w:rStyle w:val="Hyperlink"/>
            <w:rFonts w:ascii="Calibri" w:hAnsi="Calibri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41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הכולל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בשלל עבירות ובכללן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שוד ועבירות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רק ביום </w:t>
      </w:r>
      <w:r>
        <w:rPr>
          <w:rFonts w:cs="Arial" w:ascii="Arial" w:hAnsi="Arial"/>
        </w:rPr>
        <w:t>24.3.13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נגזרו על הנאשם שלוש שנות מאסר בפועל בגין הרשעתו בעבירה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במסגרת </w:t>
      </w:r>
      <w:hyperlink r:id="rId6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50340-12-12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 משפט השלום בעכו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במסגרת גזר דינו </w:t>
      </w:r>
      <w:r>
        <w:rPr>
          <w:rFonts w:ascii="Arial" w:hAnsi="Arial" w:cs="Arial"/>
          <w:rtl w:val="true"/>
        </w:rPr>
        <w:t xml:space="preserve">בתיק </w:t>
      </w:r>
      <w:r>
        <w:rPr>
          <w:rFonts w:ascii="Arial" w:hAnsi="Arial" w:cs="Arial"/>
          <w:rtl w:val="true"/>
        </w:rPr>
        <w:t>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הורה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הפעלת מאסר מותנה בן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שהושת על הנאשם באופן מצטבר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שסך הכל נקבע כי על הנאשם לרצות מאסר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החל מיום </w:t>
      </w:r>
      <w:r>
        <w:rPr>
          <w:rFonts w:cs="Arial" w:ascii="Arial" w:hAnsi="Arial"/>
        </w:rPr>
        <w:t>15.12.12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שוחרר ממאסרו לפני זמן לא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בחלוף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בלבד ממועד שחרורו ממאסר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האחרון שב והסתבך בפלילים בעבירות חמורות נשוא כתב האישום המתוקן בתיק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שחלקן זהה לעבירה בה הורשע לפני שנים לא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לי ללמוד את הלקח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להפנים חומרת התנהלותו ולתת ביטוי אמתי לחרטתו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Arial" w:hAnsi="Arial" w:cs="Arial"/>
          <w:rtl w:val="true"/>
        </w:rPr>
        <w:t xml:space="preserve">מה גם בתחום התעבורתי לחובתו של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הרשעות קודמות בין השנים </w:t>
      </w:r>
      <w:r>
        <w:rPr>
          <w:rFonts w:cs="Arial" w:ascii="Arial" w:hAnsi="Arial"/>
        </w:rPr>
        <w:t>2000-2010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עבירות  של נהיגה ללא רישיון נהיגה 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מעולם לא הוציא רישיון נהיגה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חציית</w:t>
      </w:r>
      <w:r>
        <w:rPr>
          <w:rFonts w:ascii="Arial" w:hAnsi="Arial" w:cs="Arial"/>
          <w:rtl w:val="true"/>
        </w:rPr>
        <w:t xml:space="preserve"> רמזור ב</w:t>
      </w:r>
      <w:r>
        <w:rPr>
          <w:rFonts w:ascii="Arial" w:hAnsi="Arial" w:cs="Arial"/>
          <w:rtl w:val="true"/>
        </w:rPr>
        <w:t>אור אדום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חציית כביש במקום שבו מותקנת גדר בשטח הפרדה</w:t>
      </w:r>
      <w:r>
        <w:rPr>
          <w:rFonts w:ascii="Arial" w:hAnsi="Arial" w:cs="Arial"/>
          <w:rtl w:val="true"/>
        </w:rPr>
        <w:t xml:space="preserve"> וכו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Arial" w:hAnsi="Arial" w:cs="Arial"/>
          <w:rtl w:val="true"/>
        </w:rPr>
        <w:t>כעולה מרשימת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כליאות לאדם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שהוגשה וסומנה 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כי נוכח עבר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הפלילי המכביד הכולל מספר רב של הרשעות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שהה במאסר בפועל למשך תקופות שונות בין השנים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התנהלותו של הנאשם מלמדת על בחירתו המצערת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בדרך חיים 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כשהמאסרים שהוטלו עליו לא גרמו לו להפנים שדרך זו פוגעת קשות בעקרון של טובת הציבור והסדר החברתי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.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</w:t>
      </w:r>
      <w:r>
        <w:rPr>
          <w:rFonts w:ascii="Calibri" w:hAnsi="Calibri" w:cs="Calibri"/>
          <w:rtl w:val="true"/>
        </w:rPr>
        <w:t xml:space="preserve">ר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הבכורה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נתתי 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חרטתו</w:t>
      </w:r>
      <w:r>
        <w:rPr>
          <w:rFonts w:ascii="Arial" w:hAnsi="Arial" w:cs="Arial"/>
          <w:rtl w:val="true"/>
        </w:rPr>
        <w:t xml:space="preserve"> כשכולי תקווה שהפעם היא אכן</w:t>
      </w:r>
      <w:r>
        <w:rPr>
          <w:rFonts w:ascii="Calibri" w:hAnsi="Calibri" w:cs="Calibri"/>
          <w:rtl w:val="true"/>
        </w:rPr>
        <w:t xml:space="preserve"> חרטה אמתית וכנה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firstLine="720" w:end="0"/>
        <w:jc w:val="start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10.7.17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פוסל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 לחוק ולדין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  <w:tab/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עליו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 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עליו לחתום על התחייבות כספית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ס </w:t>
      </w:r>
      <w:r>
        <w:rPr>
          <w:rFonts w:cs="Calibri" w:ascii="Calibri" w:hAnsi="Calibri"/>
        </w:rPr>
        <w:t>3000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 מעבירות בנשק תוך שנתיים מיום שחרורו מהמאסר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אם לא יחתום על התחייבות יאסר למשך חודש ימים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הודעה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לנאשם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הליווי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 אילן אלימלך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יוסי גימפל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2"/>
      <w:footerReference w:type="default" r:id="rId6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45713-07-17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ניזמי רובינוב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ascii="Calibri" w:hAnsi="Calibri" w:cs="Times New Roman"/>
      <w:b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b/>
      <w:bCs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  <w:u w:val="none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ascii="Calibri" w:hAnsi="Calibri" w:cs="Times New Roman"/>
      <w:b w:val="false"/>
      <w:u w:val="none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rFonts w:cs="Times New Roman"/>
      <w:color w:val="954F72"/>
      <w:u w:val="single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</w:rPr>
  </w:style>
  <w:style w:type="character" w:styleId="Ruller5">
    <w:name w:val="Ruller5 תו"/>
    <w:qFormat/>
    <w:rPr>
      <w:rFonts w:ascii="Arial TUR;Arial" w:hAnsi="Arial TUR;Arial" w:eastAsia="Times New Roman" w:cs="FrankRuehl"/>
      <w:spacing w:val="10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Arial"/>
      <w:spacing w:val="10"/>
      <w:sz w:val="28"/>
      <w:szCs w:val="22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3">
    <w:name w:val="Ruller 3"/>
    <w:basedOn w:val="Normal"/>
    <w:qFormat/>
    <w:pPr>
      <w:overflowPunct w:val="false"/>
      <w:autoSpaceDE w:val="false"/>
      <w:spacing w:lineRule="auto" w:line="360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38.a.1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5227/10.a" TargetMode="External"/><Relationship Id="rId8" Type="http://schemas.openxmlformats.org/officeDocument/2006/relationships/hyperlink" Target="http://www.nevo.co.il/law/5227/38" TargetMode="External"/><Relationship Id="rId9" Type="http://schemas.openxmlformats.org/officeDocument/2006/relationships/hyperlink" Target="http://www.nevo.co.il/law/5227/63" TargetMode="External"/><Relationship Id="rId10" Type="http://schemas.openxmlformats.org/officeDocument/2006/relationships/hyperlink" Target="http://www.nevo.co.il/law/74501" TargetMode="External"/><Relationship Id="rId11" Type="http://schemas.openxmlformats.org/officeDocument/2006/relationships/hyperlink" Target="http://www.nevo.co.il/law/74501/2.a." TargetMode="External"/><Relationship Id="rId12" Type="http://schemas.openxmlformats.org/officeDocument/2006/relationships/hyperlink" Target="http://www.nevo.co.il/law/74501/2.b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5227/10.a" TargetMode="External"/><Relationship Id="rId16" Type="http://schemas.openxmlformats.org/officeDocument/2006/relationships/hyperlink" Target="http://www.nevo.co.il/law/5227/63" TargetMode="External"/><Relationship Id="rId17" Type="http://schemas.openxmlformats.org/officeDocument/2006/relationships/hyperlink" Target="http://www.nevo.co.il/law/5227" TargetMode="External"/><Relationship Id="rId18" Type="http://schemas.openxmlformats.org/officeDocument/2006/relationships/hyperlink" Target="http://www.nevo.co.il/law/74501/2.a.;2.b" TargetMode="External"/><Relationship Id="rId19" Type="http://schemas.openxmlformats.org/officeDocument/2006/relationships/hyperlink" Target="http://www.nevo.co.il/law/74501" TargetMode="External"/><Relationship Id="rId20" Type="http://schemas.openxmlformats.org/officeDocument/2006/relationships/hyperlink" Target="http://www.nevo.co.il/law/70301/338.a.1" TargetMode="External"/><Relationship Id="rId21" Type="http://schemas.openxmlformats.org/officeDocument/2006/relationships/hyperlink" Target="http://www.nevo.co.il/case/4125742" TargetMode="External"/><Relationship Id="rId22" Type="http://schemas.openxmlformats.org/officeDocument/2006/relationships/hyperlink" Target="http://www.nevo.co.il/case/22006503" TargetMode="External"/><Relationship Id="rId23" Type="http://schemas.openxmlformats.org/officeDocument/2006/relationships/hyperlink" Target="http://www.nevo.co.il/case/20420495" TargetMode="External"/><Relationship Id="rId24" Type="http://schemas.openxmlformats.org/officeDocument/2006/relationships/hyperlink" Target="http://www.nevo.co.il/case/3443663" TargetMode="External"/><Relationship Id="rId25" Type="http://schemas.openxmlformats.org/officeDocument/2006/relationships/hyperlink" Target="http://www.nevo.co.il/case/7791493" TargetMode="External"/><Relationship Id="rId26" Type="http://schemas.openxmlformats.org/officeDocument/2006/relationships/hyperlink" Target="http://www.nevo.co.il/case/20459473" TargetMode="External"/><Relationship Id="rId27" Type="http://schemas.openxmlformats.org/officeDocument/2006/relationships/hyperlink" Target="http://www.nevo.co.il/case/20009157" TargetMode="External"/><Relationship Id="rId28" Type="http://schemas.openxmlformats.org/officeDocument/2006/relationships/hyperlink" Target="http://www.nevo.co.il/case/21278280" TargetMode="External"/><Relationship Id="rId29" Type="http://schemas.openxmlformats.org/officeDocument/2006/relationships/hyperlink" Target="http://www.nevo.co.il/case/22182801" TargetMode="External"/><Relationship Id="rId30" Type="http://schemas.openxmlformats.org/officeDocument/2006/relationships/hyperlink" Target="http://www.nevo.co.il/case/5958231" TargetMode="External"/><Relationship Id="rId31" Type="http://schemas.openxmlformats.org/officeDocument/2006/relationships/hyperlink" Target="http://www.nevo.co.il/case/5821327" TargetMode="External"/><Relationship Id="rId32" Type="http://schemas.openxmlformats.org/officeDocument/2006/relationships/hyperlink" Target="http://www.nevo.co.il/case/5692319" TargetMode="External"/><Relationship Id="rId33" Type="http://schemas.openxmlformats.org/officeDocument/2006/relationships/hyperlink" Target="http://www.nevo.co.il/case/5703734" TargetMode="External"/><Relationship Id="rId34" Type="http://schemas.openxmlformats.org/officeDocument/2006/relationships/hyperlink" Target="http://www.nevo.co.il/case/6102612" TargetMode="External"/><Relationship Id="rId35" Type="http://schemas.openxmlformats.org/officeDocument/2006/relationships/hyperlink" Target="http://www.nevo.co.il/case/5891605" TargetMode="External"/><Relationship Id="rId36" Type="http://schemas.openxmlformats.org/officeDocument/2006/relationships/hyperlink" Target="http://www.nevo.co.il/case/6000182" TargetMode="External"/><Relationship Id="rId37" Type="http://schemas.openxmlformats.org/officeDocument/2006/relationships/hyperlink" Target="http://www.nevo.co.il/case/5969313" TargetMode="External"/><Relationship Id="rId38" Type="http://schemas.openxmlformats.org/officeDocument/2006/relationships/hyperlink" Target="http://www.nevo.co.il/case/5958231" TargetMode="External"/><Relationship Id="rId39" Type="http://schemas.openxmlformats.org/officeDocument/2006/relationships/hyperlink" Target="http://www.nevo.co.il/case/21474520" TargetMode="External"/><Relationship Id="rId40" Type="http://schemas.openxmlformats.org/officeDocument/2006/relationships/hyperlink" Target="http://www.nevo.co.il/case/21472788" TargetMode="External"/><Relationship Id="rId41" Type="http://schemas.openxmlformats.org/officeDocument/2006/relationships/hyperlink" Target="http://www.nevo.co.il/case/6473037" TargetMode="External"/><Relationship Id="rId42" Type="http://schemas.openxmlformats.org/officeDocument/2006/relationships/hyperlink" Target="http://www.nevo.co.il/law/5227/10.a" TargetMode="External"/><Relationship Id="rId43" Type="http://schemas.openxmlformats.org/officeDocument/2006/relationships/hyperlink" Target="http://www.nevo.co.il/law/5227/63" TargetMode="External"/><Relationship Id="rId44" Type="http://schemas.openxmlformats.org/officeDocument/2006/relationships/hyperlink" Target="http://www.nevo.co.il/law/5227" TargetMode="External"/><Relationship Id="rId45" Type="http://schemas.openxmlformats.org/officeDocument/2006/relationships/hyperlink" Target="http://www.nevo.co.il/law/5227/38" TargetMode="External"/><Relationship Id="rId46" Type="http://schemas.openxmlformats.org/officeDocument/2006/relationships/hyperlink" Target="http://www.nevo.co.il/law/74501/2.a.;2.b" TargetMode="External"/><Relationship Id="rId47" Type="http://schemas.openxmlformats.org/officeDocument/2006/relationships/hyperlink" Target="http://www.nevo.co.il/law/70301/338.a.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5969313" TargetMode="External"/><Relationship Id="rId50" Type="http://schemas.openxmlformats.org/officeDocument/2006/relationships/hyperlink" Target="http://www.nevo.co.il/case/6104546" TargetMode="External"/><Relationship Id="rId51" Type="http://schemas.openxmlformats.org/officeDocument/2006/relationships/hyperlink" Target="http://www.nevo.co.il/case/5724364" TargetMode="External"/><Relationship Id="rId52" Type="http://schemas.openxmlformats.org/officeDocument/2006/relationships/hyperlink" Target="http://www.nevo.co.il/case/5950172" TargetMode="External"/><Relationship Id="rId53" Type="http://schemas.openxmlformats.org/officeDocument/2006/relationships/hyperlink" Target="http://www.nevo.co.il/case/7821883" TargetMode="External"/><Relationship Id="rId54" Type="http://schemas.openxmlformats.org/officeDocument/2006/relationships/hyperlink" Target="http://www.nevo.co.il/case/13093744" TargetMode="External"/><Relationship Id="rId55" Type="http://schemas.openxmlformats.org/officeDocument/2006/relationships/hyperlink" Target="http://www.nevo.co.il/case/5957403" TargetMode="External"/><Relationship Id="rId56" Type="http://schemas.openxmlformats.org/officeDocument/2006/relationships/hyperlink" Target="http://www.nevo.co.il/case/20683369" TargetMode="External"/><Relationship Id="rId57" Type="http://schemas.openxmlformats.org/officeDocument/2006/relationships/hyperlink" Target="http://www.nevo.co.il/case/6170256" TargetMode="External"/><Relationship Id="rId58" Type="http://schemas.openxmlformats.org/officeDocument/2006/relationships/hyperlink" Target="http://www.nevo.co.il/case/17941073" TargetMode="External"/><Relationship Id="rId59" Type="http://schemas.openxmlformats.org/officeDocument/2006/relationships/hyperlink" Target="http://www.nevo.co.il/law/70301/40ja" TargetMode="External"/><Relationship Id="rId60" Type="http://schemas.openxmlformats.org/officeDocument/2006/relationships/hyperlink" Target="http://www.nevo.co.il/case/4125742" TargetMode="External"/><Relationship Id="rId61" Type="http://schemas.openxmlformats.org/officeDocument/2006/relationships/hyperlink" Target="http://www.nevo.co.il/advertisements/nevo-100.doc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2018-09-26T08:48:00Z</dcterms:created>
  <dc:creator> </dc:creator>
  <dc:description/>
  <cp:keywords/>
  <dc:language>en-IL</dc:language>
  <cp:lastModifiedBy>run</cp:lastModifiedBy>
  <dcterms:modified xsi:type="dcterms:W3CDTF">2018-09-26T08:48:00Z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ניזמי רובינוב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ProcID=235&amp;PartA=12&amp;PartC=36</vt:lpwstr>
  </property>
  <property fmtid="{D5CDD505-2E9C-101B-9397-08002B2CF9AE}" pid="9" name="CASENOTES2">
    <vt:lpwstr>ProcID=133;209&amp;PartA=1332&amp;PartC=04</vt:lpwstr>
  </property>
  <property fmtid="{D5CDD505-2E9C-101B-9397-08002B2CF9AE}" pid="10" name="CASENOTES3">
    <vt:lpwstr>ProcID=133&amp;PartA=9179&amp;PartB=04&amp;PartC=16</vt:lpwstr>
  </property>
  <property fmtid="{D5CDD505-2E9C-101B-9397-08002B2CF9AE}" pid="11" name="CASESLISTTMP1">
    <vt:lpwstr>4125742:2;22006503;20420495;3443663;7791493;20459473;20009157;21278280;22182801;5958231:2;5821327;5692319;5703734;6102612;5891605;6000182;5969313:2;21474520;21472788;6473037;6104546;5724364;5950172;7821883;13093744;5957403;20683369;6170256;17941073</vt:lpwstr>
  </property>
  <property fmtid="{D5CDD505-2E9C-101B-9397-08002B2CF9AE}" pid="12" name="CITY">
    <vt:lpwstr>חי'</vt:lpwstr>
  </property>
  <property fmtid="{D5CDD505-2E9C-101B-9397-08002B2CF9AE}" pid="13" name="DATE">
    <vt:lpwstr>20180123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כמאל סעב</vt:lpwstr>
  </property>
  <property fmtid="{D5CDD505-2E9C-101B-9397-08002B2CF9AE}" pid="17" name="LAWLISTTMP1">
    <vt:lpwstr>70301/144.b;338.a.1:2;40ja</vt:lpwstr>
  </property>
  <property fmtid="{D5CDD505-2E9C-101B-9397-08002B2CF9AE}" pid="18" name="LAWLISTTMP2">
    <vt:lpwstr>5227/010.a:2;063:2;038</vt:lpwstr>
  </property>
  <property fmtid="{D5CDD505-2E9C-101B-9397-08002B2CF9AE}" pid="19" name="LAWLISTTMP3">
    <vt:lpwstr>74501/002.a:2;002.b:2</vt:lpwstr>
  </property>
  <property fmtid="{D5CDD505-2E9C-101B-9397-08002B2CF9AE}" pid="20" name="LAWYER">
    <vt:lpwstr>אמיר אליאל;אילן אלימלך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45713</vt:lpwstr>
  </property>
  <property fmtid="{D5CDD505-2E9C-101B-9397-08002B2CF9AE}" pid="27" name="NEWPARTB">
    <vt:lpwstr>07</vt:lpwstr>
  </property>
  <property fmtid="{D5CDD505-2E9C-101B-9397-08002B2CF9AE}" pid="28" name="NEWPARTC">
    <vt:lpwstr>17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ABS_DATE">
    <vt:lpwstr>390020180123</vt:lpwstr>
  </property>
  <property fmtid="{D5CDD505-2E9C-101B-9397-08002B2CF9AE}" pid="39" name="TYPE_N_DATE">
    <vt:lpwstr>39020180123</vt:lpwstr>
  </property>
  <property fmtid="{D5CDD505-2E9C-101B-9397-08002B2CF9AE}" pid="40" name="VOLUME">
    <vt:lpwstr/>
  </property>
  <property fmtid="{D5CDD505-2E9C-101B-9397-08002B2CF9AE}" pid="41" name="WORDNUMPAGES">
    <vt:lpwstr>11</vt:lpwstr>
  </property>
</Properties>
</file>