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45761-05-17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דסוקי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sz w:val="28"/>
                <w:szCs w:val="28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חמוס דסוקי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- </w:t>
            </w:r>
            <w:r>
              <w:rPr>
                <w:rtl w:val="true"/>
              </w:rPr>
              <w:t>נדון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sz w:val="28"/>
                <w:szCs w:val="28"/>
              </w:rPr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עאהד אלטורי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/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אסיר בפיקוח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) –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עו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 צבי אבנון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יסוד הודאתו בעובדות כתב אישום מתוקן שגובש במסגרת הסדר דיוני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>עסקה אחרת בנשק ותחמושת</w:t>
      </w:r>
      <w:r>
        <w:rPr>
          <w:rFonts w:ascii="Arial" w:hAnsi="Arial" w:cs="Arial"/>
          <w:rtl w:val="true"/>
        </w:rPr>
        <w:t xml:space="preserve"> לפי סעיף 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b/>
          <w:b/>
          <w:bCs/>
          <w:rtl w:val="true"/>
        </w:rPr>
        <w:t xml:space="preserve">ונשיאת נשק ותחמושת </w:t>
      </w:r>
      <w:r>
        <w:rPr>
          <w:rFonts w:ascii="Arial" w:hAnsi="Arial" w:cs="Arial"/>
          <w:rtl w:val="true"/>
        </w:rPr>
        <w:t xml:space="preserve">לפי סעיף </w:t>
      </w:r>
      <w:hyperlink r:id="rId10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/>
          <w:rtl w:val="true"/>
        </w:rPr>
        <w:t>מכתב האישום המתוקן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עובר ליום </w:t>
      </w:r>
      <w:r>
        <w:rPr>
          <w:rFonts w:cs="David" w:ascii="David" w:hAnsi="David"/>
        </w:rPr>
        <w:t>3.5.17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פנה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 לרכוש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נענה לבקשה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3.5.17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שוחח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והודיע לו כי האקדח ברשותו ומסר את מחירו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לבקשתו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סוכם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יבדוק עם אחר שזהותו אינה ידועה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האחר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ממנו הגיע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סוגיית המחיר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בשיחה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הודיע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האחר עומד על המחיר וכי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סוכם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יגיע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לרהט על מנת לרכוש את האקדח כשברשותו סכום הכסף הנדרש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מלוד לרהט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ברהט פגש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 לו תמורה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 לרשותו אקדח חצי אוטומטי מסוג יריחו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שחסרה בו לוחית מספר סידורי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ומחסנית שהכילה שני 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נסעו הנאשמים ברכב מרהט ללוד כשנאשם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 מקדימה במושב הנוסע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והאקדח ובתוכו המחסנית היו מונחים לרגליו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20:40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 ובסמוך ללוד נעצרו הנאשמים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שנערך ברכב נתפסו האקדח ובתוכו המחסנית במיקום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סך של </w:t>
      </w:r>
      <w:r>
        <w:rPr>
          <w:rFonts w:cs="David" w:ascii="David" w:hAnsi="David"/>
        </w:rPr>
        <w:t>5,760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שנתפסו ברשותו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דין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בעבירות של רכישת נשק ותחמושת ונשיאת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14.3.19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הציגו הסדר טיעון סגור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 עליו עונש מאסר בפועל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והופעל 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חלקו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שבסך הכל הוטל עליו עונש מאסר בפועל 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7500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וחילוט הכסף שנתפס ברשותו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אשר ייקרא משלב זה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נשלח בהסכמה לקבלת תסקיר שירות המבחן 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כבן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נשוי ואב לשלושה ילדים בגילאים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מעצר בית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לילי ברהט ועובד כשנה אצל בן דודו במוסך ברהט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 מעצרו התגורר עם משפחתו בלוד ועבד עם אחיו בעסק שבבעלותם בתחום הבניין ברהט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כשבמהלך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 האחרונות הוכיח מוסר עבודה ויציבות ברמה התעסוקתית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אינו יודע קרוא וכתוב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ותיאר בעיות התנהגות וקשיים לימודיים במשך השנים ומצב כלכלי קשה בבית ההורים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מודה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כי שותפו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הכיר מהשכונה בה התגורר בלוד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אליו וביקש שימצא לו נשק בדחיפות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רצה לעזור ולא הבין שמדובר בעבירה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שיתף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בגדר חבר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 להסביר מדוע פנה דווקא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תיאר כי החיפוש אחר נשק והקשר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ריגש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מיכולות ורבליות תקינות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שהצליח להימנע ממעורבות קודמות בפלילים ומתאמץ להשתלב בתעסוקה באופן רציף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מעריך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קיימת רמת סיכון להישנות התנהגות עוברת 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מודה באופן חלקי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לוקח אחריות על הנסיבות שהובילו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נוטה להשליך אחריות על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מתקשה בבחינה עצמית של בחירותיו ושל קשריו השוליים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ובולט כי נוטה לטשטש את הליך תכנון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הביע צער וחרטה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מבין כי עליו להיענש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הביע תקווה כי ייענש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שיוכל לחזור להתגורר עם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תקופה ממושכת של שהייה בתנאים מגבילים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הביע רצון ומוטיבציה להשתלב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והשתתף בקבוצה 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פעמית שמטרתה לבחון התאמתו ויכולתו להיתרם מהליך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במפגש בלט כי הוא מתקשה לראות בעייתיות כלשהי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עסוק בהשלכת אחריות על סביבתו ומתקשה לקחת אחריות אישית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בשלב זה השירות מתקשה להעריך את יכולתו של הנאשם להפיק תועלת מהליך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 שבית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יהיה סבור שיש מקום לבחון התאמה להליך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צורך בדחיית הדיון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/>
      </w:pP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כשלאורך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האזנות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-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4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להעברתם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14.7.13</w:t>
      </w:r>
      <w:r>
        <w:rPr>
          <w:rtl w:val="true"/>
        </w:rPr>
        <w:t>]).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למרגלותיו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מהנקודה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לתפיסה</w:t>
      </w:r>
      <w:r>
        <w:rPr>
          <w:rtl w:val="true"/>
        </w:rPr>
        <w:t xml:space="preserve">,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התפיסה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מוצלחת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טריוויאליות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24.6.15</w:t>
      </w:r>
      <w:r>
        <w:rPr>
          <w:rtl w:val="true"/>
        </w:rPr>
        <w:t xml:space="preserve">],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).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בהדרגה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סלימאן </w:t>
      </w:r>
      <w:r>
        <w:rPr>
          <w:rFonts w:cs="Arial" w:ascii="Arial" w:hAnsi="Arial"/>
          <w:rtl w:val="true"/>
        </w:rPr>
        <w:t>[</w:t>
      </w:r>
      <w:r>
        <w:rPr>
          <w:rFonts w:cs="Arial" w:ascii="Arial" w:hAnsi="Arial"/>
        </w:rPr>
        <w:t>19.1.2014</w:t>
      </w:r>
      <w:r>
        <w:rPr>
          <w:rFonts w:cs="Arial" w:ascii="Arial" w:hAnsi="Arial"/>
          <w:rtl w:val="true"/>
        </w:rPr>
        <w:t>]</w:t>
      </w:r>
      <w:r>
        <w:rPr>
          <w:rFonts w:ascii="Arial" w:hAnsi="Arial" w:cs="Arial"/>
          <w:rtl w:val="true"/>
        </w:rPr>
        <w:t>ׂׂׂ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4" w:end="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שכתבתי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b/>
          <w:bCs/>
          <w:rtl w:val="true"/>
        </w:rPr>
        <w:t>: '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 xml:space="preserve">'..."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4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שהראתה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חולירע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הפתגם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בתיאטרון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ובאשר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4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להיקפיה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מסתמנת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יודגש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מהחוליות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הצרכן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הסופי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השרשרת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16.8.18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6989/13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lang w:eastAsia="he-IL"/>
        </w:rPr>
        <w:t>25.2.2014</w:t>
      </w:r>
      <w:r>
        <w:rPr>
          <w:rtl w:val="true"/>
          <w:lang w:eastAsia="he-IL"/>
        </w:rPr>
        <w:t>]).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פואקה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6.12.15</w:t>
      </w:r>
      <w:r>
        <w:rPr>
          <w:rFonts w:cs="David" w:ascii="David" w:hAnsi="David"/>
          <w:rtl w:val="true"/>
        </w:rPr>
        <w:t xml:space="preserve">]: </w:t>
      </w:r>
      <w:r>
        <w:rPr>
          <w:rFonts w:ascii="David" w:hAnsi="David"/>
          <w:rtl w:val="true"/>
        </w:rPr>
        <w:t xml:space="preserve">על המערער הושת עונש של </w:t>
      </w:r>
      <w:r>
        <w:rPr>
          <w:rFonts w:cs="David" w:ascii="David" w:hAnsi="David"/>
        </w:rPr>
        <w:t>84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שהורשע על פי הודאתו בעבירות של תיווך בסם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שתי עבירות של עסקה בנשק לפי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ועבירה של ניסיון לעסקה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הרלבנטי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הוא שהתקשר לסוכן לבשר לו שביכולתו לארגן לו שלושה כלי נשק שישמשו אותו בסכסוך עם חמולה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משא ומתן ביניהם שכלל פגישה מקדמית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הסוכן עם המערער ומורשע נוסף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מנת לרכוש אקדח חצי אוטומטי מסוג </w:t>
      </w:r>
      <w:r>
        <w:rPr>
          <w:rFonts w:cs="David" w:ascii="David" w:hAnsi="David"/>
        </w:rPr>
        <w:t>COLT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תואמת טעונת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ודבש נכנסו לרכבו של הסוכן ולאחר חילופי דברים שלף דבש את האקדח שהוסתר מתחת לחולצתו ומסר אותו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בתמורה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הסוכן למערער סכום של </w:t>
      </w:r>
      <w:r>
        <w:rPr>
          <w:rFonts w:cs="David" w:ascii="David" w:hAnsi="David"/>
        </w:rPr>
        <w:t>14,000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העביר המערער לדבש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שילם הסוכן למערער סכום של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עבור שירותיו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המשפט המחוזי קבע מתחם עונש הולם לאישום זה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עונשו של המערער על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אישום זה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העליון הפחית במעט את עונש המאסר הכולל שהוטל על המערער והעמידו על </w:t>
      </w:r>
      <w:r>
        <w:rPr>
          <w:rFonts w:cs="David" w:ascii="David" w:hAnsi="David"/>
        </w:rPr>
        <w:t>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על רקע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 הפעולה עם הרשויות ונסיבות חייו המורכבות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color w:val="FF0000"/>
          <w:rtl w:val="true"/>
        </w:rPr>
        <w:tab/>
      </w:r>
      <w:r>
        <w:rPr>
          <w:rFonts w:ascii="David" w:hAnsi="David"/>
          <w:rtl w:val="true"/>
        </w:rPr>
        <w:t>על דבש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שותפו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בשתי עבירות של עסקה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מתחם זהה ובית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המחוזי הטיל עליו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עסקה מכירת האקדח והכדורים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דבש היה מעורב במכירת שני תתי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מקלע מסוג קרל גוסטב יחד עם מחסנית וכדורים – ובסך הכל הושתו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בערעור שהגיש על חומרת העונש –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דבש נגד מדינת ישראל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26.11.15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קיבל המערער את הצעת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להקלה בעונשו ל –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שהחל לקחת חלק בטיפול קבוצתי ופרטני אינטנסיבי לגמילה מסמים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color w:val="FF0000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cs="Arial" w:ascii="Arial" w:hAnsi="Arial"/>
        </w:rPr>
        <w:t>22.7.2014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ממנו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המערער הורשע בשתי עבירות סחר בגין שתי 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אחת של מכירת אקדח ותחמושת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והשנייה מכירת תחמושת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ושתי מחסניות לנשק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נקבע כי חלקו של הנאשם בביצוע המעשים היה העיקרי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בפועל וקנס בסך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חומרת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נדחה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2606/13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2.2.2014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19.1.2017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ולפיו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מכר יחד עם אחר אקדח ותחמושת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כחודש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 לסוכן אקדח ורובה ציד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כי מדובר בשני אירועים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מתחם העונש ההולם לכל אישום נע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עבר פלילי לא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מאסר וקנס בסך </w:t>
      </w:r>
      <w:r>
        <w:rPr>
          <w:rFonts w:cs="David" w:ascii="David" w:hAnsi="David"/>
        </w:rPr>
        <w:t>18,000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ערעורו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526/14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12.3.2014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Calibri" w:ascii="Calibri" w:hAnsi="Calibri"/>
          <w:rtl w:val="true"/>
        </w:rPr>
        <w:tab/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2186/13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18.2.14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והרביעי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Calibri" w:ascii="Calibri" w:hAnsi="Calibri"/>
          <w:rtl w:val="true"/>
        </w:rPr>
        <w:tab/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8045/17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בראנסי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16.8.18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48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כורחו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, </w:t>
      </w:r>
      <w:r>
        <w:rPr>
          <w:rtl w:val="true"/>
        </w:rPr>
        <w:t>ובולט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הנאשם הוא אדם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אינו יודע קרוא וכתוב והוכיח יציבות תעסוקתית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ששהה במעצר ממש למשך כחודשיים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מצוי תקופה ארוכה בתנאים מגבילים – לרבות מעצר באיזוק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מחודש יולי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מרץ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)  - </w:t>
      </w:r>
      <w:r>
        <w:rPr>
          <w:rFonts w:ascii="David" w:hAnsi="David"/>
          <w:rtl w:val="true"/>
        </w:rPr>
        <w:t>ותוך הרחקה ממשפחתו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ברקע לכל אלו מצוי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הדין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אם מקבלים את טיעון התביעה באשר לדומיננטיות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שלחובת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פלילי מכביד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 ונשק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את העבירה נושא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דין זה ביצע תקופה קצרה לאחר שסיים תקופת רשיון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מכלול נסיבות אלו לקולה ולחומרה לצד הצורך בהרתעת הרבים מביאים להכרעה 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להעמיד את עונשו של הנאשם מעט מעל לרף התחתון של המתחם 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Symbol" w:hAnsi="Symbol" w:cs="Symbol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0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2"/>
        <w:sym w:font="Symbol" w:char="5d5"/>
        <w:sym w:font="Symbol" w:char="5d6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3"/>
        <w:sym w:font="Symbol" w:char="5d9"/>
        <w:sym w:font="Symbol" w:char="5e0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cs="Symbol" w:ascii="Symbol" w:hAnsi="Symbol"/>
          <w:rtl w:val="true"/>
        </w:rPr>
        <w:sym w:font="Symbol" w:char="3a"/>
        <w:sym w:font="Symbol" w:char="20"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</w:t>
      </w:r>
      <w:r>
        <w:rPr>
          <w:rFonts w:cs="David" w:ascii="David" w:hAnsi="David"/>
        </w:rPr>
        <w:t>3.5.17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11.7.17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נשק מסוג פשע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עבירת נשק מסוג עוון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שווים ורצופים של </w:t>
      </w:r>
      <w:r>
        <w:rPr>
          <w:rFonts w:cs="David" w:ascii="David" w:hAnsi="David"/>
        </w:rPr>
        <w:t>1500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1.12.19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 ראשון לחודש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 תשלום אחד התשלומים במועד יגרום לכך שיתרת הקנס תעמוד לפרעון מיידי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Symbol" w:ascii="Symbol" w:hAnsi="Symbol"/>
          <w:rtl w:val="true"/>
        </w:rPr>
        <w:tab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ea"/>
        <w:sym w:font="Symbol" w:char="5d9"/>
        <w:sym w:font="Symbol" w:char="5d9"/>
        <w:sym w:font="Symbol" w:char="5e6"/>
        <w:sym w:font="Symbol" w:char="5d1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e0"/>
        <w:sym w:font="Symbol" w:char="5e9"/>
        <w:sym w:font="Symbol" w:char="5d9"/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0"/>
        <w:sym w:font="Symbol" w:char="5e1"/>
        <w:sym w:font="Symbol" w:char="5e8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1"/>
        <w:sym w:font="Symbol" w:char="5d9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1"/>
        <w:sym w:font="Symbol" w:char="5d5"/>
        <w:sym w:font="Symbol" w:char="5d4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3"/>
        <w:sym w:font="Symbol" w:char="5e8"/>
        <w:sym w:font="Symbol" w:char="5d9"/>
        <w:sym w:font="Symbol" w:char="5dd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9"/>
        <w:sym w:font="Symbol" w:char="5d5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cs="Symbol" w:ascii="Symbol" w:hAnsi="Symbol"/>
        </w:rPr>
        <w:sym w:font="Symbol" w:char="33"/>
        <w:sym w:font="Symbol" w:char="30"/>
      </w:r>
      <w:r>
        <w:rPr>
          <w:rFonts w:cs="Symbol" w:ascii="Symbol" w:hAnsi="Symbol"/>
        </w:rPr>
        <w:sym w:font="Symbol" w:char="2e"/>
        <w:sym w:font="Symbol" w:char="31"/>
        <w:sym w:font="Symbol" w:char="30"/>
        <w:sym w:font="Symbol" w:char="2e"/>
        <w:sym w:font="Symbol" w:char="31"/>
        <w:sym w:font="Symbol" w:char="39"/>
      </w:r>
      <w:r>
        <w:rPr>
          <w:rFonts w:cs="Symbol" w:ascii="Symbol" w:hAnsi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3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e2"/>
        <w:sym w:font="Symbol" w:char="5d4"/>
      </w:r>
      <w:r>
        <w:rPr>
          <w:rFonts w:ascii="Symbol" w:hAnsi="Symbol" w:cs="Symbol"/>
          <w:rtl w:val="true"/>
        </w:rPr>
        <w:sym w:font="Symbol" w:char="20"/>
      </w:r>
      <w:r>
        <w:rPr>
          <w:rFonts w:cs="Symbol" w:ascii="Symbol" w:hAnsi="Symbol"/>
        </w:rPr>
        <w:sym w:font="Symbol" w:char="31"/>
        <w:sym w:font="Symbol" w:char="30"/>
        <w:sym w:font="Symbol" w:char="3a"/>
        <w:sym w:font="Symbol" w:char="30"/>
        <w:sym w:font="Symbol" w:char="30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c"/>
      </w:r>
      <w:r>
        <w:rPr>
          <w:rFonts w:ascii="David" w:hAnsi="David"/>
          <w:rtl w:val="true"/>
        </w:rPr>
        <w:t xml:space="preserve"> פי החלטת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וגזר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דין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התנאים הכספיים שהופקדו בתיקי המעצר הקשורים יעמדו בתוקפם עד להתייצבות הנאשם לנשיאת 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בזאת צו עיכוב יציאה מהארץ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הצהיר שאין בידו דרכון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הודעה זכות ערעור 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במעמד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45761-05-17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חמוס דסוקי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720"/>
      </w:pPr>
      <w:rPr>
        <w:b w:val="false"/>
        <w:bCs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case/6824952" TargetMode="External"/><Relationship Id="rId14" Type="http://schemas.openxmlformats.org/officeDocument/2006/relationships/hyperlink" Target="http://www.nevo.co.il/law/70301/40i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0395125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case/8291683" TargetMode="External"/><Relationship Id="rId22" Type="http://schemas.openxmlformats.org/officeDocument/2006/relationships/hyperlink" Target="http://www.nevo.co.il/case/20007334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0000662" TargetMode="External"/><Relationship Id="rId26" Type="http://schemas.openxmlformats.org/officeDocument/2006/relationships/hyperlink" Target="http://www.nevo.co.il/case/13023134" TargetMode="External"/><Relationship Id="rId27" Type="http://schemas.openxmlformats.org/officeDocument/2006/relationships/hyperlink" Target="http://www.nevo.co.il/case/6882160" TargetMode="External"/><Relationship Id="rId28" Type="http://schemas.openxmlformats.org/officeDocument/2006/relationships/hyperlink" Target="http://www.nevo.co.il/case/21474520" TargetMode="External"/><Relationship Id="rId29" Type="http://schemas.openxmlformats.org/officeDocument/2006/relationships/hyperlink" Target="http://www.nevo.co.il/case/11309005" TargetMode="External"/><Relationship Id="rId30" Type="http://schemas.openxmlformats.org/officeDocument/2006/relationships/hyperlink" Target="http://www.nevo.co.il/case/23750625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2019-09-18T13:04:00Z</dcterms:created>
  <dc:creator> </dc:creator>
  <dc:description/>
  <cp:keywords/>
  <dc:language>en-IL</dc:language>
  <cp:lastModifiedBy>h10</cp:lastModifiedBy>
  <dcterms:modified xsi:type="dcterms:W3CDTF">2019-09-18T13:04:00Z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חמוס דסוקי;עאהד אלטורי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ProcID=133;209&amp;PartA=526&amp;PartC=14</vt:lpwstr>
  </property>
  <property fmtid="{D5CDD505-2E9C-101B-9397-08002B2CF9AE}" pid="9" name="CASENOTES2">
    <vt:lpwstr>ProcID=213&amp;PartA=39&amp;PartC=40</vt:lpwstr>
  </property>
  <property fmtid="{D5CDD505-2E9C-101B-9397-08002B2CF9AE}" pid="10" name="CASESLISTTMP1">
    <vt:lpwstr>6824952;20395125;7791493;23750625:2;8291683;20007334;20000662;13023134;6882160;21474520;11309005</vt:lpwstr>
  </property>
  <property fmtid="{D5CDD505-2E9C-101B-9397-08002B2CF9AE}" pid="11" name="CITY">
    <vt:lpwstr>מרכז</vt:lpwstr>
  </property>
  <property fmtid="{D5CDD505-2E9C-101B-9397-08002B2CF9AE}" pid="12" name="DATE">
    <vt:lpwstr>20190910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דנה מרשק מרום</vt:lpwstr>
  </property>
  <property fmtid="{D5CDD505-2E9C-101B-9397-08002B2CF9AE}" pid="16" name="LAWLISTTMP1">
    <vt:lpwstr>70301/144.b2:3;144.b;040c.a;040i.a;40ja</vt:lpwstr>
  </property>
  <property fmtid="{D5CDD505-2E9C-101B-9397-08002B2CF9AE}" pid="17" name="LAWYER">
    <vt:lpwstr>עינת לב ארי;צבי אבנון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45761</vt:lpwstr>
  </property>
  <property fmtid="{D5CDD505-2E9C-101B-9397-08002B2CF9AE}" pid="24" name="NEWPARTB">
    <vt:lpwstr>05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390020190910</vt:lpwstr>
  </property>
  <property fmtid="{D5CDD505-2E9C-101B-9397-08002B2CF9AE}" pid="36" name="TYPE_N_DATE">
    <vt:lpwstr>39020190910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