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45845-11-12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היאט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לאה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בירק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2</w:t>
      </w:r>
      <w:r>
        <w:rPr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הראשון</w:t>
      </w:r>
      <w:r>
        <w:rPr>
          <w:rFonts w:ascii="Arial" w:hAnsi="Arial" w:cs="Arial"/>
          <w:rtl w:val="true"/>
        </w:rPr>
        <w:t xml:space="preserve"> יוחסו לנאשם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תקיפת סתם של בת זוג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''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ותקיפה הגורמת חבלה של ממש של בת זוג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בהכרעת הדין נקבע שלא הוכח שנגרמה למתלוננת חבלה של ממש ולכן הנאשם הורשע רק בעבירה של תקיפת סתם של בת זוג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22.06.12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בשעה שאינה ידועה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בדירה שבה התגורר הנאשם עם המתלוננת וילדיהם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הדירה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בעקבות ויכוח שנסב סביב קיפול הכביסה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סירבה אשתו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לצאת מהחדר לדרישתו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חבט הנאשם בידה הימנית של המתלוננת באמצעות אגרופו מספר פעמים וגרם לה לחבלה של ממש בדמות סימנים אדומים בהירים ושריטה בידה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נמלטה המתלוננת לחדר של בנם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הלך בעקבותיה ותקף אותה בפעם נוספת וחבט בצווארה בצד הימני באמצעות אגרופיו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הנאשם את המתלוננת שלא כדין וללא הסכמתה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תקף אותה וגרם לה לחבלה של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השני</w:t>
      </w:r>
      <w:r>
        <w:rPr>
          <w:rFonts w:ascii="Arial" w:hAnsi="Arial" w:cs="Arial"/>
          <w:rtl w:val="true"/>
        </w:rPr>
        <w:t xml:space="preserve"> הנאשם הורשע בביצוע עבירה של איומים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בתאריך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כשלושה חודשים עובר לאישום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ויכוח שנתגלע בין הנאשם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גידף אותה הנאשם באומרו לה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זבל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שרמוטה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ואף איים עליה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שאמר לה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אשלח אותך לטיפול נמרץ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הרביעי</w:t>
      </w:r>
      <w:r>
        <w:rPr>
          <w:rFonts w:ascii="Arial" w:hAnsi="Arial" w:cs="Arial"/>
          <w:rtl w:val="true"/>
        </w:rPr>
        <w:t xml:space="preserve"> הנאשם 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איומים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תקיפת שוטר בעת מילוי תפקידו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והפרעה לשוטר במילוי תפקידו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עובדות האישום הרביעי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23.6.12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05:09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האירוע המתואר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השוטרים ירין קשלס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ירין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ואביחי לוי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אביחי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מילאו תפקידם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לדירה כדי לעכב את הנאשם לחקירה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ביקשו השוטרים מהנאשם לפתוח את דלת הדירה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הפטיר לעברם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אז מה 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 אתם באים בשעה כזאת</w:t>
      </w:r>
      <w:r>
        <w:rPr>
          <w:rFonts w:cs="Arial" w:ascii="Arial" w:hAnsi="Arial"/>
          <w:rtl w:val="true"/>
        </w:rPr>
        <w:t xml:space="preserve">?".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מספר דקות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פתח הנאשם את דלת הדירה בפני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נתבקש להתלוות אליהם ובתגובה אמר להם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דתי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בא לשום 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תחזרו בבוקר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כשהסבירו השוטרים לנאשם שעליו להתלוות אליהם לצורך חקירה איים על השוטרים באומרו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תצאו לי מהבית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לא בא לשום מקום ואני אדאג לזיין את שניכם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דחף הנאשם את ירין בידיו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ירין אמר לנאשם כי ייעצר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איים עליו הנאשם באומרו 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אני לא מפחד מאף אחד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ייפגש אתך ברחוב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יזיין אותך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אתה ועוד עשרים כמוך לא תוציאו אותי מהבית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ודחף את ירין בפעם נוספת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עזב הנאשם את השוטרים ונכנס אל חדרו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יצא מן החדר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 במגב והרימו לכיוונו של ירין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ואיים עליו באומרו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אדפוק לך את זה בראש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ירין הוציא את מכשיר ה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טייזר</w:t>
      </w:r>
      <w:r>
        <w:rPr>
          <w:rFonts w:cs="Arial" w:ascii="Arial" w:hAnsi="Arial"/>
          <w:rtl w:val="true"/>
        </w:rPr>
        <w:t xml:space="preserve">"  </w:t>
      </w:r>
      <w:r>
        <w:rPr>
          <w:rFonts w:ascii="Arial" w:hAnsi="Arial" w:cs="Arial"/>
          <w:rtl w:val="true"/>
        </w:rPr>
        <w:t>שהיה ברשותו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הניח את המגב על הרצפה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איים על השוטרים באומרו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ישחרר את הכלב עליהם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כאשר הוא מתכוון לכלבו המצוי בבית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ירין הודיע לנאשם כי הוא עצור וביקש ממנו להתלוות אליו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סירב וירין היה צריך למשוך את הנאשם בחולצתו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שהאחרון יצא מהדירה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היו הנאשם והשוטרים בדרך לניידת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עליהם הנאשם באומרו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אזיין אתכם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לא מפחד מכלום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בהמשך הסתכל הנאשם לכיוונו של ירין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ואמר לו שלא יוותר עד שיסגור עימו חשבון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ולטענתה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מספר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האירועים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שבאישומים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b/>
          <w:bCs/>
          <w:sz w:val="28"/>
          <w:szCs w:val="28"/>
          <w:u w:val="single"/>
          <w:rtl w:val="true"/>
        </w:rPr>
        <w:t>-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31.12.14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הצמידה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נשוא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הרביעי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הערך החברתי המוגן בעבירות של אלימות כלפי עובדי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אביא מדבריה של כבוד השופטת ברק ארז בפסקה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דינה 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4565/13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אמון חאלד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4.11.13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 w:before="0" w:after="1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משפט זה כבר פסק בעבר כי מעבר לחומרה הכללית הנודעת לעבירות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שלאלימות המכוונת נגד עובדי ציבור נודעת חומרה מיוחדת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מאחר והן פוגעות פגיעה אנושה גם בערך החברתי הנודע לתפקוד התקין של השירות הציבורי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21">
        <w:r>
          <w:rPr>
            <w:rStyle w:val="Hyperlink"/>
            <w:rFonts w:ascii="Arial" w:hAnsi="Arial" w:cs="Arial"/>
            <w:rtl w:val="true"/>
          </w:rPr>
          <w:t>ה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מ </w:t>
        </w:r>
        <w:r>
          <w:rPr>
            <w:rStyle w:val="Hyperlink"/>
            <w:rFonts w:cs="Arial" w:ascii="Arial" w:hAnsi="Arial"/>
          </w:rPr>
          <w:t>215/72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משיח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כו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172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1972</w:t>
      </w:r>
      <w:r>
        <w:rPr>
          <w:rFonts w:cs="Arial" w:ascii="Arial" w:hAnsi="Arial"/>
          <w:rtl w:val="true"/>
        </w:rPr>
        <w:t xml:space="preserve">);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2660/05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אונגרפלד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13.8.08</w:t>
      </w:r>
      <w:r>
        <w:rPr>
          <w:rFonts w:cs="Arial" w:ascii="Arial" w:hAnsi="Arial"/>
          <w:rtl w:val="true"/>
        </w:rPr>
        <w:t xml:space="preserve">);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7383/08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אונגרפלד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11.7.11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 xml:space="preserve">עובדי הציבורי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חשופים בצריח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כמי שלא אחת נמצאים בחזית ההתמודדות עם שירות לציבור שיודעים אף הם קשיים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עובדי הציבור נדרשים להתגייס כל יום מחדש למתן שירות ולשם כך לגייס כוחות גוף ונפש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זהו הרקע לחקיקת עבירות מיוחדות שעניינן לא רק הגנה על שלמות גופם של עובדי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הגנה על כבודם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לפחות במצבים שבהם הפגיעה היא פגיעה קשה בליבתו</w:t>
      </w:r>
      <w:r>
        <w:rPr>
          <w:rFonts w:cs="Arial" w:ascii="Arial" w:hAnsi="Arial"/>
          <w:rtl w:val="true"/>
        </w:rPr>
        <w:t xml:space="preserve">." </w:t>
      </w:r>
    </w:p>
    <w:p>
      <w:pPr>
        <w:pStyle w:val="Normal"/>
        <w:spacing w:lineRule="auto" w:line="360" w:before="0" w:after="1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מדיניות הענישה הנוהגת בעבירות של תקיפת עובדי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אביא את הפסיקה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1648/14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יפקח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8.4.14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תקף שני חוקרי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שהגיעו לביתו לצורך עריכת 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בתוקף תפקידם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החוקרים הציגו למבקש צו חיפוש אך הוא סירב לעריכת החיפוש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קימט את הצו וניסה לדחוף אותו בכוח לפיו של אחד החוקרים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שרף המבקש את הצו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המבקש על חייהם של החוקרים במילים ובמעשים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הורשע על ידי בית משפט השלום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תקיפת עובד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לעובד ציבור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לפקח שהותקף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המבקש הגיש ערעור לבית המשפט המחוזי ולאור מצבו הרפואי של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הופחת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u w:val="single"/>
        </w:rPr>
        <w:t>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לבית המשפט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יצקוב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10.3.14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הורשע בביצוע עבירות של תקיפת עובד ציבור ובעבירה של 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נהיגה בפזיזות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לעובד ציבור והעלבת עובד 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תקף שתי פקחיות חניה מטעם עיריית באר שבע לאחר שהחלו לרשום לרכבו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בגין חניה במקום אסור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טלטל את ידה של אחת הפקחיות שהיתה בחודש החמישי להריונה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נכנס לרכבו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לעברה ופגע ברגליה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הסיט המבקש את רכבו לעבר הפקחית השניה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ברגליה וגרר אותה באמצעות הרכב מרחק של מספר מטרים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סבלה הפקחית הראשונה מכאבים ונזקקה לקבל טיפול רפואי והפקחית השניה סבלה מחבלות של ממש ומשטפי דם ברגליה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השית עליו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לכל אחת מהמתלוננות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המבקש נמצא בלתי מתאים לבצע עבודות שירות ועל כן נקבע שהעונש שהושת עליו ירוצה במאסר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שהוגש לבית המשפט המחוזי נדחה וכן נדחתה בקשת רשות ערעור שהוגשה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5979/06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בוהדנה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25.7.06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 הועמד לדין בבית המשפט השלום בבית שאן בגין עבירה של תקיפת שוטר במילוי תפקידו והפרעה לשוטר במילוי 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 הנטען בכתב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 תקף שוטר אשר הגיע לביתו כשבידו צו הבאה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 שדחף אותו וכן הכשיל את השוטרים שבאו לעצרו מלמלא את תפקידם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 שסירב להתלוות עימם לניידת 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כדי שימוש בכח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 זוכה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בית המשפט 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מחמת הספק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מהעבירה של תקיפת שוטר והורשע בעבירה של הפרעה לשוטר במילוי תפקידו ונגזרו עליו </w:t>
      </w:r>
      <w:r>
        <w:rPr>
          <w:rFonts w:ascii="Calibri" w:hAnsi="Calibri" w:cs="Calibri"/>
          <w:u w:val="single"/>
          <w:rtl w:val="true"/>
        </w:rPr>
        <w:t>שלושה חודשי מאסר בפועל ומאסר על 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2222/13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חיחיאשוילי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2.5.13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 הורשע בבית משפט השלום בגין ביצוע עבירות של תקיפת שוטר במילוי תפקידו והפרעה לשוטר במילוי 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 עובדות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סירב המבקש לצאת מהרכב בו נסע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אף בקשות חוזרות ונשנות של שוטר שנכח 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 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נאות המבקש לצאת 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שאז הוא הצמיד את פניו אל פני השוטר באופן מאיים וכשנשאל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השוטר אם הוא שיכור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נשך המבקש את השוטר באפו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 התנגד למעצרו ונופף בידיו לכל 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לאור עברו הפלילי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גזר עליו </w:t>
      </w:r>
      <w:r>
        <w:rPr>
          <w:rFonts w:cs="Calibri" w:ascii="Calibri" w:hAnsi="Calibri"/>
          <w:u w:val="single"/>
        </w:rPr>
        <w:t>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בפועל שירוצו בעבודות שירות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 על תנאי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 xml:space="preserve">קנס בסך של </w:t>
      </w:r>
      <w:r>
        <w:rPr>
          <w:rFonts w:cs="Calibri" w:ascii="Calibri" w:hAnsi="Calibri"/>
          <w:u w:val="single"/>
        </w:rPr>
        <w:t>300</w:t>
      </w:r>
      <w:r>
        <w:rPr>
          <w:rFonts w:cs="Calibri" w:ascii="Calibri" w:hAnsi="Calibri"/>
          <w:u w:val="single"/>
          <w:rtl w:val="true"/>
        </w:rPr>
        <w:t xml:space="preserve"> ₪ </w:t>
      </w:r>
      <w:r>
        <w:rPr>
          <w:rFonts w:ascii="Calibri" w:hAnsi="Calibri" w:cs="Calibri"/>
          <w:u w:val="single"/>
          <w:rtl w:val="true"/>
        </w:rPr>
        <w:t xml:space="preserve">ופיצוי לשוטר שהותקף בסך של </w:t>
      </w:r>
      <w:r>
        <w:rPr>
          <w:rFonts w:cs="Calibri" w:ascii="Calibri" w:hAnsi="Calibri"/>
          <w:u w:val="single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שהגיש המבקש לבית משפט המחוזי נדחה וכן נדחתה בקשת רשות ערעור שהוגשה לבית המשפט 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2065/14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מדיגם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9.6.14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 הורשע בביצוע עבירה של תקיפת שוטר בעת מילוי 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עובדות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 כח משטרתי לביתו של המבקש על מנת לבצע חיפוש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עריכת החיפוש תקף הנאשם את אחד השוטרים בכך שדחף אותו בחזהו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שוטר אחר שהיה במקום עזר לשוטר הראשון להשתלט על המבקש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שהוא בועט בשני השוטרים וכן בשני שוטרים נוספים שהיו 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המבקש נדון לארבעה חודשי מאסר בפועל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 xml:space="preserve">ובנוסף הופעל מאסר על תנאי של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חודשים במצטבר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כך שסה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 היה על המבקש 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10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מאחורי סורג 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 לבית המשפט המחוזי נדחה וכן  נדחתה בקשת רשות ערעור שהוגשה לבית המשפט 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1860/07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נחמני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14.6.07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 הועמד לדין בבית המשפט השלום בקריות בגין עבירה של תקיפת שוטר בשעת מילוי 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ועבירה של הפרעה לשוטר בשעת מילוי 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עובדות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היה בשטח השוק בחיפה וסירב להזדהות בפני 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סירב לפנות את רכבו משטח השוק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 כאשר נאמר לו שהינו מעוכב ונדרש להתלוות לשוטרים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תקף שניים מהם באופן שבעט ופגע באחד מהם בבטנו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נשך שוטר אחר בידו ותקף שוטר שלישי שנחבל בידיו חבלות של 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השלום גזר עליו </w:t>
      </w:r>
      <w:r>
        <w:rPr>
          <w:rFonts w:cs="Calibri" w:ascii="Calibri" w:hAnsi="Calibri"/>
          <w:u w:val="single"/>
        </w:rPr>
        <w:t>7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 xml:space="preserve">חודשי מאסר בפועל תוך הפעלת מאסר על תנאי שהיה תלוי ועומד כנגדו </w:t>
      </w:r>
      <w:r>
        <w:rPr>
          <w:rFonts w:ascii="Calibri" w:hAnsi="Calibri" w:cs="Calibri"/>
          <w:rtl w:val="true"/>
        </w:rPr>
        <w:t>וזאת בחופף לעונש המאסר בפועל שהוטל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 לבית המשפט המחוזי בחיפה נדחה וכן נדחתה בקשת רשות ערעור שהוגשה לבית המשפט 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 מדיניות הענישה הנוהגת כפי שתוארה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 קובע כי מתחם העונש ההולם לעבירות שבוצעו על ידי הנאשם באישום הרביעי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נע בין מספר חודשי מאסר בודדים ועד תשעה חודשי מאסר בפועל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וזאת בצירוף קנס ו</w:t>
      </w:r>
      <w:r>
        <w:rPr>
          <w:rFonts w:cs="Calibri" w:ascii="Calibri" w:hAnsi="Calibri"/>
          <w:u w:val="single"/>
          <w:rtl w:val="true"/>
        </w:rPr>
        <w:t>/</w:t>
      </w:r>
      <w:r>
        <w:rPr>
          <w:rFonts w:ascii="Calibri" w:hAnsi="Calibri" w:cs="Calibri"/>
          <w:u w:val="single"/>
          <w:rtl w:val="true"/>
        </w:rPr>
        <w:t>או פיצוי 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ניר</w:t>
      </w:r>
      <w:r>
        <w:rPr>
          <w:rtl w:val="true"/>
        </w:rPr>
        <w:t xml:space="preserve">",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22.1.17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1.2.17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נוסח מסמך זה כפוף לשינויי ניסוח 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45845-11-12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Arial (W1);Arial" w:hAnsi="Arial (W1);Arial" w:cs="Arial (W1);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73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82.b" TargetMode="External"/><Relationship Id="rId7" Type="http://schemas.openxmlformats.org/officeDocument/2006/relationships/hyperlink" Target="http://www.nevo.co.il/law/70301/382.c" TargetMode="External"/><Relationship Id="rId8" Type="http://schemas.openxmlformats.org/officeDocument/2006/relationships/hyperlink" Target="http://www.nevo.co.il/law/70301/382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82.c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73" TargetMode="External"/><Relationship Id="rId16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case/6247978" TargetMode="External"/><Relationship Id="rId18" Type="http://schemas.openxmlformats.org/officeDocument/2006/relationships/hyperlink" Target="http://www.nevo.co.il/case/18736510" TargetMode="External"/><Relationship Id="rId19" Type="http://schemas.openxmlformats.org/officeDocument/2006/relationships/hyperlink" Target="http://www.nevo.co.il/case/5568571" TargetMode="External"/><Relationship Id="rId20" Type="http://schemas.openxmlformats.org/officeDocument/2006/relationships/hyperlink" Target="http://www.nevo.co.il/case/7697298" TargetMode="External"/><Relationship Id="rId21" Type="http://schemas.openxmlformats.org/officeDocument/2006/relationships/hyperlink" Target="http://www.nevo.co.il/case/17936526" TargetMode="External"/><Relationship Id="rId22" Type="http://schemas.openxmlformats.org/officeDocument/2006/relationships/hyperlink" Target="http://www.nevo.co.il/case/5849541" TargetMode="External"/><Relationship Id="rId23" Type="http://schemas.openxmlformats.org/officeDocument/2006/relationships/hyperlink" Target="http://www.nevo.co.il/case/5849542" TargetMode="External"/><Relationship Id="rId24" Type="http://schemas.openxmlformats.org/officeDocument/2006/relationships/hyperlink" Target="http://www.nevo.co.il/case/13022923" TargetMode="External"/><Relationship Id="rId25" Type="http://schemas.openxmlformats.org/officeDocument/2006/relationships/hyperlink" Target="http://www.nevo.co.il/case/11270418" TargetMode="External"/><Relationship Id="rId26" Type="http://schemas.openxmlformats.org/officeDocument/2006/relationships/hyperlink" Target="http://www.nevo.co.il/case/6043158" TargetMode="External"/><Relationship Id="rId27" Type="http://schemas.openxmlformats.org/officeDocument/2006/relationships/hyperlink" Target="http://www.nevo.co.il/case/16997890" TargetMode="External"/><Relationship Id="rId28" Type="http://schemas.openxmlformats.org/officeDocument/2006/relationships/hyperlink" Target="http://www.nevo.co.il/case/13060033" TargetMode="External"/><Relationship Id="rId29" Type="http://schemas.openxmlformats.org/officeDocument/2006/relationships/hyperlink" Target="http://www.nevo.co.il/case/5796641" TargetMode="External"/><Relationship Id="rId30" Type="http://schemas.openxmlformats.org/officeDocument/2006/relationships/hyperlink" Target="http://www.nevo.co.il/law/70301/273" TargetMode="External"/><Relationship Id="rId31" Type="http://schemas.openxmlformats.org/officeDocument/2006/relationships/hyperlink" Target="http://www.nevo.co.il/law/70301/275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2017-09-28T12:08:00Z</dcterms:created>
  <dc:creator> </dc:creator>
  <dc:description/>
  <cp:keywords/>
  <dc:language>en-IL</dc:language>
  <cp:lastModifiedBy>run</cp:lastModifiedBy>
  <dcterms:modified xsi:type="dcterms:W3CDTF">2017-09-28T12:08:00Z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6247978;18736510;5568571;7697298;17936526;5849541;5849542;13022923;11270418;6043158;16997890;13060033;5796641</vt:lpwstr>
  </property>
  <property fmtid="{D5CDD505-2E9C-101B-9397-08002B2CF9AE}" pid="9" name="CITY">
    <vt:lpwstr>רמ'</vt:lpwstr>
  </property>
  <property fmtid="{D5CDD505-2E9C-101B-9397-08002B2CF9AE}" pid="10" name="DATE">
    <vt:lpwstr>20161206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70301/382.b;382.c;192:2;273:2;275:2</vt:lpwstr>
  </property>
  <property fmtid="{D5CDD505-2E9C-101B-9397-08002B2CF9AE}" pid="15" name="LAWYER">
    <vt:lpwstr>שלי היאט;ארמונד;לאה בירק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45845</vt:lpwstr>
  </property>
  <property fmtid="{D5CDD505-2E9C-101B-9397-08002B2CF9AE}" pid="22" name="NEWPARTB">
    <vt:lpwstr>11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380020161206</vt:lpwstr>
  </property>
  <property fmtid="{D5CDD505-2E9C-101B-9397-08002B2CF9AE}" pid="34" name="TYPE_N_DATE">
    <vt:lpwstr>38020161206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