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46079-07-12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חוסייני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סאלח חוסייני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רובא דקה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מוספטא אבו אחמד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bookmarkStart w:id="6" w:name="ABSTRACT_START"/>
      <w:bookmarkEnd w:id="6"/>
      <w:r>
        <w:rPr>
          <w:rFonts w:ascii="David" w:hAnsi="David" w:cs="David"/>
          <w:rtl w:val="true"/>
        </w:rPr>
        <w:t>הנאשם הודה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סמך הודאתו זו הורשע בעבירות אשר יוחסו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עבירה לפי סעיף </w:t>
      </w:r>
      <w:r>
        <w:rPr>
          <w:rFonts w:cs="David" w:ascii="David" w:hAnsi="David"/>
        </w:rPr>
        <w:t>499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)(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ועבירות בנשק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רישא וסיפא 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ABSTRACT_END"/>
      <w:bookmarkStart w:id="8" w:name="ABSTRACT_END"/>
      <w:bookmarkEnd w:id="8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הודאתו זו של הנאשם והרשעתו בדין הינם פרי הסדר טיעון אליו הגיעו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הצדדים ועל סמך הסדר הטיעון עתרו הצדדים להטלת העונשים המפורטים בפרוטוקול ישיבת יום </w:t>
      </w:r>
      <w:r>
        <w:rPr>
          <w:rFonts w:cs="David" w:ascii="David" w:hAnsi="David"/>
        </w:rPr>
        <w:t>21.02.13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ששמעתי את 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שני הצדדים ולאחר עיון בתסקיר שירות המבחן שוכנעתי כי ההסדר אליו הגיעו הצדדים הינו 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מאוזן והתוצאה שאני מאמץ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אי לכך אני גוזר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מתוכם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בניכוי ימי מעצרו מיום </w:t>
      </w:r>
      <w:r>
        <w:rPr>
          <w:rFonts w:cs="David" w:ascii="David" w:hAnsi="David"/>
        </w:rPr>
        <w:t>17.07.12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ואילו היתרה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והתנאי שהנאשם לא יעבור בפרק זמן זה על כל אחת מהעבירות בהן הורשע בכתב אישום מתוקן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אני פוסל את הנאשם מלקבל או להחזיק ברישיון נהיגה למשך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וזאת החל מיום שחרורו מהכלא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cs="David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#6#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11/04/2013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46079-07-12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סאלח חוסייני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2013-04-17T07:02:00Z</dcterms:created>
  <dc:creator> </dc:creator>
  <dc:description/>
  <cp:keywords/>
  <dc:language>en-IL</dc:language>
  <cp:lastModifiedBy>hofit</cp:lastModifiedBy>
  <dcterms:modified xsi:type="dcterms:W3CDTF">2013-04-17T07:02:00Z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סאלח חוסייני</vt:lpwstr>
  </property>
  <property fmtid="{D5CDD505-2E9C-101B-9397-08002B2CF9AE}" pid="4" name="CITY">
    <vt:lpwstr>נצ'</vt:lpwstr>
  </property>
  <property fmtid="{D5CDD505-2E9C-101B-9397-08002B2CF9AE}" pid="5" name="DATE">
    <vt:lpwstr>20130411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YER">
    <vt:lpwstr>הובא ו;הובא ו מוספטא אבו אחמד;רובא דקה</vt:lpwstr>
  </property>
  <property fmtid="{D5CDD505-2E9C-101B-9397-08002B2CF9AE}" pid="9" name="NEWPARTA">
    <vt:lpwstr>46079</vt:lpwstr>
  </property>
  <property fmtid="{D5CDD505-2E9C-101B-9397-08002B2CF9AE}" pid="10" name="NEWPARTB">
    <vt:lpwstr>07</vt:lpwstr>
  </property>
  <property fmtid="{D5CDD505-2E9C-101B-9397-08002B2CF9AE}" pid="11" name="NEWPARTC">
    <vt:lpwstr>12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390020130411</vt:lpwstr>
  </property>
  <property fmtid="{D5CDD505-2E9C-101B-9397-08002B2CF9AE}" pid="16" name="TYPE_N_DATE">
    <vt:lpwstr>39020130411</vt:lpwstr>
  </property>
  <property fmtid="{D5CDD505-2E9C-101B-9397-08002B2CF9AE}" pid="17" name="WORDNUMPAGES">
    <vt:lpwstr>2</vt:lpwstr>
  </property>
</Properties>
</file>