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bookmarkStart w:id="1" w:name="_GoBack"/>
            <w:r>
              <w:rPr>
                <w:b/>
                <w:bCs/>
                <w:sz w:val="26"/>
                <w:szCs w:val="26"/>
              </w:rPr>
              <w:t>46108-06-20</w:t>
            </w:r>
            <w:bookmarkEnd w:id="1"/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הרשה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2020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48"/>
        <w:gridCol w:w="1255"/>
        <w:gridCol w:w="5632"/>
        <w:gridCol w:w="285"/>
      </w:tblGrid>
      <w:tr>
        <w:trPr>
          <w:trHeight w:val="337" w:hRule="atLeast"/>
        </w:trPr>
        <w:tc>
          <w:tcPr>
            <w:tcW w:w="1548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</w:t>
            </w:r>
          </w:p>
        </w:tc>
        <w:tc>
          <w:tcPr>
            <w:tcW w:w="6887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rFonts w:eastAsia="David"/>
              </w:rPr>
            </w:pPr>
            <w:r>
              <w:rPr>
                <w:rFonts w:eastAsia="David"/>
                <w:rtl w:val="true"/>
              </w:rPr>
              <w:t xml:space="preserve"> </w:t>
            </w:r>
          </w:p>
        </w:tc>
        <w:tc>
          <w:tcPr>
            <w:tcW w:w="2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548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87" w:type="dxa"/>
            <w:gridSpan w:val="2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4"/>
                <w:szCs w:val="4"/>
              </w:rPr>
            </w:pPr>
            <w:r>
              <w:rPr>
                <w:rFonts w:eastAsia="David"/>
                <w:b/>
                <w:bCs/>
                <w:rtl w:val="true"/>
              </w:rPr>
              <w:t xml:space="preserve">                       </w:t>
            </w:r>
            <w:hyperlink r:id="rId2">
              <w:r>
                <w:rPr>
                  <w:rStyle w:val="Hyperlink"/>
                  <w:b/>
                  <w:b/>
                  <w:bCs/>
                  <w:color w:val="0000FF"/>
                  <w:u w:val="single"/>
                  <w:rtl w:val="true"/>
                </w:rPr>
                <w:t xml:space="preserve">פרק </w:t>
              </w:r>
              <w:r>
                <w:rPr>
                  <w:rStyle w:val="Hyperlink"/>
                  <w:b/>
                  <w:bCs/>
                  <w:color w:val="0000FF"/>
                  <w:u w:val="single"/>
                </w:rPr>
                <w:t>2745/20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מספר 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א </w:t>
            </w:r>
            <w:r>
              <w:rPr>
                <w:b/>
                <w:bCs/>
              </w:rPr>
              <w:t>284341/2020</w:t>
            </w:r>
          </w:p>
        </w:tc>
        <w:tc>
          <w:tcPr>
            <w:tcW w:w="2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sz w:val="4"/>
                <w:szCs w:val="4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548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88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  <w:tc>
          <w:tcPr>
            <w:tcW w:w="2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43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סארי ג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יוסי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  <w:tc>
          <w:tcPr>
            <w:tcW w:w="2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03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20" w:type="dxa"/>
            <w:gridSpan w:val="4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03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1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תאאר הרשה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4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4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מטאנס מירה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עלי סעדי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באמצעות הליווי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הנסיבות הצריכות לעניין הן בתמצית אלה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 </w:t>
        <w:tab/>
      </w:r>
      <w:bookmarkStart w:id="12" w:name="ABSTRACT_START"/>
      <w:bookmarkEnd w:id="12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25.11.1998</w:t>
      </w:r>
      <w:r>
        <w:rPr>
          <w:rtl w:val="true"/>
        </w:rPr>
        <w:t xml:space="preserve">, </w:t>
      </w:r>
      <w:r>
        <w:rPr>
          <w:rtl w:val="true"/>
        </w:rPr>
        <w:t xml:space="preserve">הורשע ביום </w:t>
      </w:r>
      <w:r>
        <w:rPr/>
        <w:t>02.12.2020</w:t>
      </w:r>
      <w:r>
        <w:rPr>
          <w:rtl w:val="true"/>
        </w:rPr>
        <w:t xml:space="preserve"> </w:t>
      </w:r>
      <w:r>
        <w:rPr>
          <w:rtl w:val="true"/>
        </w:rPr>
        <w:t>על סמך הודאתו בעובדות כתב</w:t>
      </w:r>
      <w:r>
        <w:rPr>
          <w:rtl w:val="true"/>
        </w:rPr>
        <w:t>-</w:t>
      </w:r>
      <w:r>
        <w:rPr>
          <w:rtl w:val="true"/>
        </w:rPr>
        <w:t>האישום המתוקן</w:t>
      </w:r>
      <w:r>
        <w:rPr>
          <w:rtl w:val="true"/>
        </w:rPr>
        <w:t xml:space="preserve">, </w:t>
      </w:r>
      <w:r>
        <w:rPr>
          <w:rtl w:val="true"/>
        </w:rPr>
        <w:t>במסגרת הסדר אליו הגיעו הצדדים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 xml:space="preserve">בעבירות בנשק </w:t>
      </w:r>
      <w:r>
        <w:rPr>
          <w:rtl w:val="true"/>
        </w:rPr>
        <w:t>(</w:t>
      </w:r>
      <w:r>
        <w:rPr>
          <w:rtl w:val="true"/>
        </w:rPr>
        <w:t>נשיאה והובלה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1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 </w:t>
      </w:r>
      <w:r>
        <w:rPr>
          <w:rtl w:val="true"/>
        </w:rPr>
        <w:t>וכן בעבירת הפרעה לשוטר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  <w:rFonts w:cs="David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08.06.2020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הגיעו שוטרים וביניהם</w:t>
      </w:r>
      <w:r>
        <w:rPr>
          <w:rtl w:val="true"/>
        </w:rPr>
        <w:t xml:space="preserve">: </w:t>
      </w:r>
      <w:r>
        <w:rPr>
          <w:rtl w:val="true"/>
        </w:rPr>
        <w:t>מיכאל זגורי</w:t>
      </w:r>
      <w:r>
        <w:rPr>
          <w:rtl w:val="true"/>
        </w:rPr>
        <w:t xml:space="preserve">, </w:t>
      </w:r>
      <w:r>
        <w:rPr>
          <w:rtl w:val="true"/>
        </w:rPr>
        <w:t>גאורגי רוסטומוב</w:t>
      </w:r>
      <w:r>
        <w:rPr>
          <w:rtl w:val="true"/>
        </w:rPr>
        <w:t xml:space="preserve">, </w:t>
      </w:r>
      <w:r>
        <w:rPr>
          <w:rtl w:val="true"/>
        </w:rPr>
        <w:t>דודו אביטן</w:t>
      </w:r>
      <w:r>
        <w:rPr>
          <w:rtl w:val="true"/>
        </w:rPr>
        <w:t xml:space="preserve">, </w:t>
      </w:r>
      <w:r>
        <w:rPr>
          <w:rtl w:val="true"/>
        </w:rPr>
        <w:t xml:space="preserve">ורובר זיאד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השוטרים</w:t>
      </w:r>
      <w:r>
        <w:rPr>
          <w:rtl w:val="true"/>
        </w:rPr>
        <w:t xml:space="preserve">") </w:t>
      </w:r>
      <w:r>
        <w:rPr>
          <w:rtl w:val="true"/>
        </w:rPr>
        <w:t>לכפר ברטעה לפעילות משטרתית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הבחינו השוטרים מיכאל זגורי וגאורגי רוסטומוב בנאשם על גג מחסן בקומה השנייה של המבנה בו הוא מתגורר</w:t>
      </w:r>
      <w:r>
        <w:rPr>
          <w:rtl w:val="true"/>
        </w:rPr>
        <w:t xml:space="preserve">, </w:t>
      </w:r>
      <w:r>
        <w:rPr>
          <w:rtl w:val="true"/>
        </w:rPr>
        <w:t xml:space="preserve">עת נושא הוא על גופו נשק דמוי רובה סער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"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בלא רשות על</w:t>
      </w:r>
      <w:r>
        <w:rPr>
          <w:rtl w:val="true"/>
        </w:rPr>
        <w:t>-</w:t>
      </w:r>
      <w:r>
        <w:rPr>
          <w:rtl w:val="true"/>
        </w:rPr>
        <w:t>פי דין לנשיאתו או להובלתו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נשא הנאשם והוביל על גופו ובכיס מכנסיו תשעה 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הכדורים</w:t>
      </w:r>
      <w:r>
        <w:rPr>
          <w:rtl w:val="true"/>
        </w:rPr>
        <w:t xml:space="preserve">"), </w:t>
      </w:r>
      <w:r>
        <w:rPr>
          <w:rtl w:val="true"/>
        </w:rPr>
        <w:t>ושתי מחסניות תואמות לנשק טעונות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והשנייה ב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כדורים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המחסניות</w:t>
      </w:r>
      <w:r>
        <w:rPr>
          <w:rtl w:val="true"/>
        </w:rPr>
        <w:t xml:space="preserve">"), </w:t>
      </w:r>
      <w:r>
        <w:rPr>
          <w:rtl w:val="true"/>
        </w:rPr>
        <w:t>בלא רשות על</w:t>
      </w:r>
      <w:r>
        <w:rPr>
          <w:rtl w:val="true"/>
        </w:rPr>
        <w:t>-</w:t>
      </w:r>
      <w:r>
        <w:rPr>
          <w:rtl w:val="true"/>
        </w:rPr>
        <w:t>פי דין לנשיאתן או הובלתן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השוטרים מיכאל זגורי וגאורגי רוסטומוב צעקו לעבר הנאשם שיעצור</w:t>
      </w:r>
      <w:r>
        <w:rPr>
          <w:rtl w:val="true"/>
        </w:rPr>
        <w:t xml:space="preserve">, </w:t>
      </w:r>
      <w:r>
        <w:rPr>
          <w:rtl w:val="true"/>
        </w:rPr>
        <w:t>אך הנאשם השליך את הנשק מגג המחסן</w:t>
      </w:r>
      <w:r>
        <w:rPr>
          <w:rtl w:val="true"/>
        </w:rPr>
        <w:t xml:space="preserve">, </w:t>
      </w:r>
      <w:r>
        <w:rPr>
          <w:rtl w:val="true"/>
        </w:rPr>
        <w:t>במקום שלא היה נגיש להגעה מידית של השוטרים</w:t>
      </w:r>
      <w:r>
        <w:rPr>
          <w:rtl w:val="true"/>
        </w:rPr>
        <w:t xml:space="preserve">, </w:t>
      </w:r>
      <w:r>
        <w:rPr>
          <w:rtl w:val="true"/>
        </w:rPr>
        <w:t>ומיד לאחר</w:t>
      </w:r>
      <w:r>
        <w:rPr>
          <w:rtl w:val="true"/>
        </w:rPr>
        <w:t>-</w:t>
      </w:r>
      <w:r>
        <w:rPr>
          <w:rtl w:val="true"/>
        </w:rPr>
        <w:t>מכן קפץ הנאשם מגג המחסן למקום אליו השליך את הנשק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זמן קצר לאחר מכן</w:t>
      </w:r>
      <w:r>
        <w:rPr>
          <w:rtl w:val="true"/>
        </w:rPr>
        <w:t xml:space="preserve">, </w:t>
      </w:r>
      <w:r>
        <w:rPr>
          <w:rtl w:val="true"/>
        </w:rPr>
        <w:t>נעצר הנאשם על</w:t>
      </w:r>
      <w:r>
        <w:rPr>
          <w:rtl w:val="true"/>
        </w:rPr>
        <w:t>-</w:t>
      </w:r>
      <w:r>
        <w:rPr>
          <w:rtl w:val="true"/>
        </w:rPr>
        <w:t>ידי השוטר רובר זיאד</w:t>
      </w:r>
      <w:r>
        <w:rPr>
          <w:rtl w:val="true"/>
        </w:rPr>
        <w:t xml:space="preserve">, </w:t>
      </w:r>
      <w:r>
        <w:rPr>
          <w:rtl w:val="true"/>
        </w:rPr>
        <w:t>אשר הגיע למקום</w:t>
      </w:r>
      <w:r>
        <w:rPr>
          <w:rtl w:val="true"/>
        </w:rPr>
        <w:t xml:space="preserve">. </w:t>
      </w:r>
      <w:r>
        <w:rPr>
          <w:rtl w:val="true"/>
        </w:rPr>
        <w:t>בחיפוש שנערך על גופו של הנאשם</w:t>
      </w:r>
      <w:r>
        <w:rPr>
          <w:rtl w:val="true"/>
        </w:rPr>
        <w:t xml:space="preserve">, </w:t>
      </w:r>
      <w:r>
        <w:rPr>
          <w:rtl w:val="true"/>
        </w:rPr>
        <w:t>נמצאו ונתפסו הכדורים בכיס מכנסיו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כאמור כבר לעיל</w:t>
      </w:r>
      <w:r>
        <w:rPr>
          <w:rtl w:val="true"/>
        </w:rPr>
        <w:t xml:space="preserve">, </w:t>
      </w:r>
      <w:r>
        <w:rPr>
          <w:rtl w:val="true"/>
        </w:rPr>
        <w:t>הגיעו הצדדים להסדר דיוני</w:t>
      </w:r>
      <w:r>
        <w:rPr>
          <w:rtl w:val="true"/>
        </w:rPr>
        <w:t xml:space="preserve">, </w:t>
      </w:r>
      <w:r>
        <w:rPr>
          <w:rtl w:val="true"/>
        </w:rPr>
        <w:t>ולפיו הודה הנאשם בעובדות כתב</w:t>
      </w:r>
      <w:r>
        <w:rPr>
          <w:rtl w:val="true"/>
        </w:rPr>
        <w:t>-</w:t>
      </w:r>
      <w:r>
        <w:rPr>
          <w:rtl w:val="true"/>
        </w:rPr>
        <w:t>האישום המתוקן</w:t>
      </w:r>
      <w:r>
        <w:rPr>
          <w:rtl w:val="true"/>
        </w:rPr>
        <w:t xml:space="preserve">, </w:t>
      </w:r>
      <w:r>
        <w:rPr>
          <w:rtl w:val="true"/>
        </w:rPr>
        <w:t>ולא נקבע כל הסדר לעניין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08.12.2020</w:t>
      </w:r>
      <w:r>
        <w:rPr>
          <w:rtl w:val="true"/>
        </w:rPr>
        <w:t xml:space="preserve"> </w:t>
      </w:r>
      <w:r>
        <w:rPr>
          <w:rtl w:val="true"/>
        </w:rPr>
        <w:t>נשמעו טיעוני הצדדים 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 פלט רישום פלילי של הנאשם</w:t>
      </w:r>
      <w:r>
        <w:rPr>
          <w:rtl w:val="true"/>
        </w:rPr>
        <w:t xml:space="preserve">, </w:t>
      </w:r>
      <w:r>
        <w:rPr>
          <w:rtl w:val="true"/>
        </w:rPr>
        <w:t>תמצית פסיקה קצרה רלבנטית</w:t>
      </w:r>
      <w:r>
        <w:rPr>
          <w:rtl w:val="true"/>
        </w:rPr>
        <w:t xml:space="preserve">, </w:t>
      </w:r>
      <w:r>
        <w:rPr>
          <w:rtl w:val="true"/>
        </w:rPr>
        <w:t>וכן אסופת 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בהם מתוארים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מקרים 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</w:t>
      </w:r>
      <w:r>
        <w:rPr>
          <w:rtl w:val="true"/>
        </w:rPr>
        <w:t xml:space="preserve">, </w:t>
      </w:r>
      <w:r>
        <w:rPr>
          <w:rtl w:val="true"/>
        </w:rPr>
        <w:t>כי הנאשם הורשע על</w:t>
      </w:r>
      <w:r>
        <w:rPr>
          <w:rtl w:val="true"/>
        </w:rPr>
        <w:t>-</w:t>
      </w:r>
      <w:r>
        <w:rPr>
          <w:rtl w:val="true"/>
        </w:rPr>
        <w:t>פי הודאתו בכתב</w:t>
      </w:r>
      <w:r>
        <w:rPr>
          <w:rtl w:val="true"/>
        </w:rPr>
        <w:t>-</w:t>
      </w:r>
      <w:r>
        <w:rPr>
          <w:rtl w:val="true"/>
        </w:rPr>
        <w:t>אישום מתוקן בעבירות של נשיאה והובלה של נשק</w:t>
      </w:r>
      <w:r>
        <w:rPr>
          <w:rtl w:val="true"/>
        </w:rPr>
        <w:t xml:space="preserve">, </w:t>
      </w:r>
      <w:r>
        <w:rPr>
          <w:rtl w:val="true"/>
        </w:rPr>
        <w:t>וכן בהפרעה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>אשר מצא ביטוי בהשלכת נשק למקום שאינו נגיש לשוטרים</w:t>
      </w:r>
      <w:r>
        <w:rPr>
          <w:rtl w:val="true"/>
        </w:rPr>
        <w:t xml:space="preserve">, </w:t>
      </w:r>
      <w:r>
        <w:rPr>
          <w:rtl w:val="true"/>
        </w:rPr>
        <w:t>וקפיצה לאותו 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הערכים המוגנים שנפגעו ממעשיו של הנאשם הם בטחון הציבור והשמירה על החוק והסדר הציבורי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בענייננו מדובר בנשיאת נשק שכוונה למלט את הנשק</w:t>
      </w:r>
      <w:r>
        <w:rPr>
          <w:rtl w:val="true"/>
        </w:rPr>
        <w:t xml:space="preserve">, </w:t>
      </w:r>
      <w:r>
        <w:rPr>
          <w:rtl w:val="true"/>
        </w:rPr>
        <w:t>אשר מהווה נסיבה מחמירה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 אינו מייחס נשיאה ממושכת או למטרה ספציפית קונקרטית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על מתחם הענישה ההולם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להנחיית פרקליט המדינה </w:t>
      </w:r>
      <w:r>
        <w:rPr/>
        <w:t>9.16</w:t>
      </w:r>
      <w:r>
        <w:rPr>
          <w:rtl w:val="true"/>
        </w:rPr>
        <w:t xml:space="preserve">, </w:t>
      </w:r>
      <w:r>
        <w:rPr>
          <w:rtl w:val="true"/>
        </w:rPr>
        <w:t>לנוע בין שנתיים וחצי לבין חמש שנות 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סוג הנשק</w:t>
      </w:r>
      <w:r>
        <w:rPr>
          <w:rtl w:val="true"/>
        </w:rPr>
        <w:t xml:space="preserve">, </w:t>
      </w:r>
      <w:r>
        <w:rPr>
          <w:rtl w:val="true"/>
        </w:rPr>
        <w:t>ובענייננו מדובר בנשק ארוך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ובנוסף נטען</w:t>
      </w:r>
      <w:r>
        <w:rPr>
          <w:rtl w:val="true"/>
        </w:rPr>
        <w:t xml:space="preserve">, </w:t>
      </w:r>
      <w:r>
        <w:rPr>
          <w:rtl w:val="true"/>
        </w:rPr>
        <w:t>כי 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 xml:space="preserve">אשר לחובתו הרשעה אחת בעבירת אלימות משנת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 xml:space="preserve">בגינה ריצה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לזכותו של הנאשם עומדת הודאתו בכתב</w:t>
      </w:r>
      <w:r>
        <w:rPr>
          <w:rtl w:val="true"/>
        </w:rPr>
        <w:t>-</w:t>
      </w:r>
      <w:r>
        <w:rPr>
          <w:rtl w:val="true"/>
        </w:rPr>
        <w:t>האישום 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אליבא דב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הואיל ולא התבקש תסקיר בעניינו של הנאשם</w:t>
      </w:r>
      <w:r>
        <w:rPr>
          <w:rtl w:val="true"/>
        </w:rPr>
        <w:t xml:space="preserve">, </w:t>
      </w:r>
      <w:r>
        <w:rPr>
          <w:rtl w:val="true"/>
        </w:rPr>
        <w:t>יש להשית על הנאשם ענישה שתהיה בתחום האמצעי של המתחם הנטען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tl w:val="true"/>
        </w:rPr>
        <w:t>-</w:t>
      </w:r>
      <w:r>
        <w:rPr>
          <w:rtl w:val="true"/>
        </w:rPr>
        <w:t>כן עתר ב</w:t>
      </w:r>
      <w:r>
        <w:rPr>
          <w:rtl w:val="true"/>
        </w:rPr>
        <w:t>"</w:t>
      </w:r>
      <w:r>
        <w:rPr>
          <w:rtl w:val="true"/>
        </w:rPr>
        <w:t>כ המאשימה להשית על הנאשם גם עונשים 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ל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4435/11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 מרזוק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01.07.2012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 מרזוק</w:t>
      </w:r>
      <w:r>
        <w:rPr>
          <w:rtl w:val="true"/>
        </w:rPr>
        <w:t xml:space="preserve">"), </w:t>
      </w:r>
      <w:r>
        <w:rPr>
          <w:rtl w:val="true"/>
        </w:rPr>
        <w:t>שם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לאחר ניהול הליך הוכחות בעבירות של החזקה ונשיאת נשק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), </w:t>
      </w:r>
      <w:r>
        <w:rPr>
          <w:rtl w:val="true"/>
        </w:rPr>
        <w:t>הפרעה לשוטר</w:t>
      </w:r>
      <w:r>
        <w:rPr>
          <w:rtl w:val="true"/>
        </w:rPr>
        <w:t xml:space="preserve">, </w:t>
      </w:r>
      <w:r>
        <w:rPr>
          <w:rtl w:val="true"/>
        </w:rPr>
        <w:t>וכן תקיפת שוטר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העליון דחה את ערעורו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אבלי</w:t>
      </w:r>
      <w:r>
        <w:rPr>
          <w:rtl w:val="true"/>
        </w:rPr>
        <w:t xml:space="preserve">"), </w:t>
      </w:r>
      <w:r>
        <w:rPr>
          <w:rtl w:val="true"/>
        </w:rPr>
        <w:t>דחה בית המשפט העליון את ערעורו של המערער</w:t>
      </w:r>
      <w:r>
        <w:rPr>
          <w:rtl w:val="true"/>
        </w:rPr>
        <w:t xml:space="preserve">, </w:t>
      </w:r>
      <w:r>
        <w:rPr>
          <w:rtl w:val="true"/>
        </w:rPr>
        <w:t>בעל עבר פלילי</w:t>
      </w:r>
      <w:r>
        <w:rPr>
          <w:rtl w:val="true"/>
        </w:rPr>
        <w:t xml:space="preserve">, </w:t>
      </w:r>
      <w:r>
        <w:rPr>
          <w:rtl w:val="true"/>
        </w:rPr>
        <w:t>אשר הורשע בעבירה של נשיאת אקדח</w:t>
      </w:r>
      <w:r>
        <w:rPr>
          <w:rtl w:val="true"/>
        </w:rPr>
        <w:t xml:space="preserve">, </w:t>
      </w:r>
      <w:r>
        <w:rPr>
          <w:rtl w:val="true"/>
        </w:rPr>
        <w:t>מחסנית וכדורים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עת מתחם הענישה נקבע בין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 בסל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08.03.2017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 בסל</w:t>
      </w:r>
      <w:r>
        <w:rPr>
          <w:rtl w:val="true"/>
        </w:rPr>
        <w:t xml:space="preserve">") </w:t>
      </w:r>
      <w:r>
        <w:rPr>
          <w:rtl w:val="true"/>
        </w:rPr>
        <w:t>קיבל בית המשפט העליון את ערעורה של המדינה על קולת העונש שהושת על המשיב</w:t>
      </w:r>
      <w:r>
        <w:rPr>
          <w:rtl w:val="true"/>
        </w:rPr>
        <w:t xml:space="preserve">, </w:t>
      </w:r>
      <w:r>
        <w:rPr>
          <w:rtl w:val="true"/>
        </w:rPr>
        <w:t xml:space="preserve">צעיר 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בגין הרשעתו בעבירה של החזקת ונשיאת נשק</w:t>
      </w:r>
      <w:r>
        <w:rPr>
          <w:rtl w:val="true"/>
        </w:rPr>
        <w:t xml:space="preserve">. </w:t>
      </w:r>
      <w:r>
        <w:rPr>
          <w:rtl w:val="true"/>
        </w:rPr>
        <w:t>בית המשפט העליון קבע</w:t>
      </w:r>
      <w:r>
        <w:rPr>
          <w:rtl w:val="true"/>
        </w:rPr>
        <w:t xml:space="preserve">, </w:t>
      </w:r>
      <w:r>
        <w:rPr>
          <w:rtl w:val="true"/>
        </w:rPr>
        <w:t xml:space="preserve">שעונשו של המשיב יעמוד על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חלף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המאסר שנגזרו עליו בבית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 אזברגה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18.07.2019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 אזברגה</w:t>
      </w:r>
      <w:r>
        <w:rPr>
          <w:rtl w:val="true"/>
        </w:rPr>
        <w:t xml:space="preserve">"), </w:t>
      </w:r>
      <w:r>
        <w:rPr>
          <w:rtl w:val="true"/>
        </w:rPr>
        <w:t>דחה בית המשפט העליון את ערעורו של מערער</w:t>
      </w:r>
      <w:r>
        <w:rPr>
          <w:rtl w:val="true"/>
        </w:rPr>
        <w:t xml:space="preserve">, </w:t>
      </w:r>
      <w:r>
        <w:rPr>
          <w:rtl w:val="true"/>
        </w:rPr>
        <w:t>אשר הורשע בנשיאת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בפועל וכן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עת מתחם הענישה נקבע בין </w:t>
      </w:r>
      <w:r>
        <w:rPr/>
        <w:t>12-40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שאף הוא הגיש אסופת פסקי</w:t>
      </w:r>
      <w:r>
        <w:rPr>
          <w:rtl w:val="true"/>
        </w:rPr>
        <w:t>-</w:t>
      </w:r>
      <w:r>
        <w:rPr>
          <w:rtl w:val="true"/>
        </w:rPr>
        <w:t>דין ותקציר פסיקה</w:t>
      </w:r>
      <w:r>
        <w:rPr>
          <w:rtl w:val="true"/>
        </w:rPr>
        <w:t xml:space="preserve">, </w:t>
      </w:r>
      <w:r>
        <w:rPr>
          <w:rtl w:val="true"/>
        </w:rPr>
        <w:t>כי יש להתחשב בנאשם ולהטיל עליו תקופת מאסר קצרה בלבד</w:t>
      </w:r>
      <w:r>
        <w:rPr>
          <w:rtl w:val="true"/>
        </w:rPr>
        <w:t xml:space="preserve">, </w:t>
      </w:r>
      <w:r>
        <w:rPr>
          <w:rtl w:val="true"/>
        </w:rPr>
        <w:t xml:space="preserve">הואיל והנאשם בן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ולפיכך נמנה על קבוצת ה</w:t>
      </w:r>
      <w:r>
        <w:rPr>
          <w:rtl w:val="true"/>
        </w:rPr>
        <w:t>"</w:t>
      </w:r>
      <w:r>
        <w:rPr>
          <w:rtl w:val="true"/>
        </w:rPr>
        <w:t>בגירים הצעירים</w:t>
      </w:r>
      <w:r>
        <w:rPr>
          <w:rtl w:val="true"/>
        </w:rPr>
        <w:t xml:space="preserve">" </w:t>
      </w:r>
      <w:r>
        <w:rPr>
          <w:rtl w:val="true"/>
        </w:rPr>
        <w:t>בהתאם להלכה שנקבעה ב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25.06.2013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 פלוני</w:t>
      </w:r>
      <w:r>
        <w:rPr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משפחתו של הנאשם מונה שש נפשות</w:t>
      </w:r>
      <w:r>
        <w:rPr>
          <w:rtl w:val="true"/>
        </w:rPr>
        <w:t xml:space="preserve">, </w:t>
      </w:r>
      <w:r>
        <w:rPr>
          <w:rtl w:val="true"/>
        </w:rPr>
        <w:t>וכי הנאשם הודה בפתח משפטו בעובדות 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הודאתו של הנאשם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לא רק חסכה בזמן שיפוטי ובזמנם של העדים</w:t>
      </w:r>
      <w:r>
        <w:rPr>
          <w:rtl w:val="true"/>
        </w:rPr>
        <w:t xml:space="preserve">, </w:t>
      </w:r>
      <w:r>
        <w:rPr>
          <w:rtl w:val="true"/>
        </w:rPr>
        <w:t>אלא אף ממחישה</w:t>
      </w:r>
      <w:r>
        <w:rPr>
          <w:rtl w:val="true"/>
        </w:rPr>
        <w:t xml:space="preserve">, </w:t>
      </w:r>
      <w:r>
        <w:rPr>
          <w:rtl w:val="true"/>
        </w:rPr>
        <w:t>כי הנאשם לקח אחריות על מעשיו</w:t>
      </w:r>
      <w:r>
        <w:rPr>
          <w:rtl w:val="true"/>
        </w:rPr>
        <w:t xml:space="preserve">, </w:t>
      </w:r>
      <w:r>
        <w:rPr>
          <w:rtl w:val="true"/>
        </w:rPr>
        <w:t>ומתחרט על ביצוע 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ובנוסף נטען</w:t>
      </w:r>
      <w:r>
        <w:rPr>
          <w:rtl w:val="true"/>
        </w:rPr>
        <w:t xml:space="preserve">, </w:t>
      </w:r>
      <w:r>
        <w:rPr>
          <w:rtl w:val="true"/>
        </w:rPr>
        <w:t>כי עבירת נשיאת הנשק המיוחסת לנאשם היא נשיאה לפרק</w:t>
      </w:r>
      <w:r>
        <w:rPr>
          <w:rtl w:val="true"/>
        </w:rPr>
        <w:t>-</w:t>
      </w:r>
      <w:r>
        <w:rPr>
          <w:rtl w:val="true"/>
        </w:rPr>
        <w:t>זמן קצר</w:t>
      </w:r>
      <w:r>
        <w:rPr>
          <w:rtl w:val="true"/>
        </w:rPr>
        <w:t xml:space="preserve">, </w:t>
      </w:r>
      <w:r>
        <w:rPr>
          <w:rtl w:val="true"/>
        </w:rPr>
        <w:t>כפי שאף הודה</w:t>
      </w:r>
      <w:r>
        <w:rPr>
          <w:rtl w:val="true"/>
        </w:rPr>
        <w:t xml:space="preserve">, </w:t>
      </w:r>
      <w:r>
        <w:rPr>
          <w:rtl w:val="true"/>
        </w:rPr>
        <w:t>בהגינותו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הנסיבות בענייננו מצדיקות הקלה בעונש</w:t>
      </w:r>
      <w:r>
        <w:rPr>
          <w:rtl w:val="true"/>
        </w:rPr>
        <w:t xml:space="preserve">, </w:t>
      </w:r>
      <w:r>
        <w:rPr>
          <w:rtl w:val="true"/>
        </w:rPr>
        <w:t>גם מן הסיבה</w:t>
      </w:r>
      <w:r>
        <w:rPr>
          <w:rtl w:val="true"/>
        </w:rPr>
        <w:t xml:space="preserve">, </w:t>
      </w:r>
      <w:r>
        <w:rPr>
          <w:rtl w:val="true"/>
        </w:rPr>
        <w:t>שמדובר בתת</w:t>
      </w:r>
      <w:r>
        <w:rPr>
          <w:rtl w:val="true"/>
        </w:rPr>
        <w:t>-</w:t>
      </w:r>
      <w:r>
        <w:rPr>
          <w:rtl w:val="true"/>
        </w:rPr>
        <w:t xml:space="preserve">מקלע מאולתר דמוי רובה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כפי שצוין בכתב</w:t>
      </w:r>
      <w:r>
        <w:rPr>
          <w:rtl w:val="true"/>
        </w:rPr>
        <w:t>-</w:t>
      </w:r>
      <w:r>
        <w:rPr>
          <w:rtl w:val="true"/>
        </w:rPr>
        <w:t>האישום המתוקן</w:t>
      </w:r>
      <w:r>
        <w:rPr>
          <w:rtl w:val="true"/>
        </w:rPr>
        <w:t xml:space="preserve">, </w:t>
      </w:r>
      <w:r>
        <w:rPr>
          <w:rtl w:val="true"/>
        </w:rPr>
        <w:t>ולא בנשק תקני</w:t>
      </w:r>
      <w:r>
        <w:rPr>
          <w:rtl w:val="true"/>
        </w:rPr>
        <w:t xml:space="preserve">. </w:t>
      </w:r>
      <w:r>
        <w:rPr>
          <w:rtl w:val="true"/>
        </w:rPr>
        <w:t>פוטנציאל הנזק של כלי</w:t>
      </w:r>
      <w:r>
        <w:rPr>
          <w:rtl w:val="true"/>
        </w:rPr>
        <w:t>-</w:t>
      </w:r>
      <w:r>
        <w:rPr>
          <w:rtl w:val="true"/>
        </w:rPr>
        <w:t>נשק זה</w:t>
      </w:r>
      <w:r>
        <w:rPr>
          <w:rtl w:val="true"/>
        </w:rPr>
        <w:t xml:space="preserve">, </w:t>
      </w:r>
      <w:r>
        <w:rPr>
          <w:rtl w:val="true"/>
        </w:rPr>
        <w:t>כך אליבא דב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נמוך יותר מפוטנציאל הנזק של נשק תקני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בענייננו מדובר בנשיאה קצרה בזמן וגם במרחק</w:t>
      </w:r>
      <w:r>
        <w:rPr>
          <w:rtl w:val="true"/>
        </w:rPr>
        <w:t xml:space="preserve">, </w:t>
      </w:r>
      <w:r>
        <w:rPr>
          <w:rtl w:val="true"/>
        </w:rPr>
        <w:t>וכי עבירת ההחזקה והנשיאה המיוחסים לנאשם</w:t>
      </w:r>
      <w:r>
        <w:rPr>
          <w:rtl w:val="true"/>
        </w:rPr>
        <w:t xml:space="preserve">, </w:t>
      </w:r>
      <w:r>
        <w:rPr>
          <w:rtl w:val="true"/>
        </w:rPr>
        <w:t>נכונים למועד המצוין בכתב</w:t>
      </w:r>
      <w:r>
        <w:rPr>
          <w:rtl w:val="true"/>
        </w:rPr>
        <w:t>-</w:t>
      </w:r>
      <w:r>
        <w:rPr>
          <w:rtl w:val="true"/>
        </w:rPr>
        <w:t>האישום המתוקן</w:t>
      </w:r>
      <w:r>
        <w:rPr>
          <w:rtl w:val="true"/>
        </w:rPr>
        <w:t xml:space="preserve">, </w:t>
      </w:r>
      <w:r>
        <w:rPr>
          <w:rtl w:val="true"/>
        </w:rPr>
        <w:t>שעה שלא נטען</w:t>
      </w:r>
      <w:r>
        <w:rPr>
          <w:rtl w:val="true"/>
        </w:rPr>
        <w:t xml:space="preserve">, </w:t>
      </w:r>
      <w:r>
        <w:rPr>
          <w:rtl w:val="true"/>
        </w:rPr>
        <w:t>שהנאשם החזיק בנשק במועד אחר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41276-06-17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ודיע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17.07.2018</w:t>
      </w:r>
      <w:r>
        <w:rPr>
          <w:rtl w:val="true"/>
        </w:rPr>
        <w:t xml:space="preserve">), </w:t>
      </w:r>
      <w:r>
        <w:rPr>
          <w:rtl w:val="true"/>
        </w:rPr>
        <w:t>שם דובר בעבירת נשיאה והובלה של נשק לפרק זמן קצר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tl w:val="true"/>
        </w:rPr>
        <w:t xml:space="preserve">, </w:t>
      </w:r>
      <w:r>
        <w:rPr>
          <w:rtl w:val="true"/>
        </w:rPr>
        <w:t>כי מדובר כנסיבה מקלה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הטיל על הנאשמים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63018-05-18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 מחאמיד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24.10.2019</w:t>
      </w:r>
      <w:r>
        <w:rPr>
          <w:rtl w:val="true"/>
        </w:rPr>
        <w:t xml:space="preserve">), </w:t>
      </w:r>
      <w:r>
        <w:rPr>
          <w:rtl w:val="true"/>
        </w:rPr>
        <w:t xml:space="preserve">דובר בנשיאה והובלה של שני נשקים מסוג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תקניים</w:t>
      </w:r>
      <w:r>
        <w:rPr>
          <w:rtl w:val="true"/>
        </w:rPr>
        <w:t xml:space="preserve">, </w:t>
      </w:r>
      <w:r>
        <w:rPr>
          <w:rtl w:val="true"/>
        </w:rPr>
        <w:t>בית המשפט</w:t>
      </w:r>
      <w:r>
        <w:rPr>
          <w:rtl w:val="true"/>
        </w:rPr>
        <w:t xml:space="preserve">, </w:t>
      </w:r>
      <w:r>
        <w:rPr>
          <w:rtl w:val="true"/>
        </w:rPr>
        <w:t>נתן דעתו לכך</w:t>
      </w:r>
      <w:r>
        <w:rPr>
          <w:rtl w:val="true"/>
        </w:rPr>
        <w:t xml:space="preserve">, </w:t>
      </w:r>
      <w:r>
        <w:rPr>
          <w:rtl w:val="true"/>
        </w:rPr>
        <w:t>שנשיאת הנשק כפי שעלתה מעובדות כתב</w:t>
      </w:r>
      <w:r>
        <w:rPr>
          <w:rtl w:val="true"/>
        </w:rPr>
        <w:t>-</w:t>
      </w:r>
      <w:r>
        <w:rPr>
          <w:rtl w:val="true"/>
        </w:rPr>
        <w:t>האישום היא נשיאה רגעית</w:t>
      </w:r>
      <w:r>
        <w:rPr>
          <w:rtl w:val="true"/>
        </w:rPr>
        <w:t xml:space="preserve">, </w:t>
      </w:r>
      <w:r>
        <w:rPr>
          <w:rtl w:val="true"/>
        </w:rPr>
        <w:t xml:space="preserve">וגזרה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לריצוי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5004/17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ענאן אלעטאונה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20.11.2017</w:t>
      </w:r>
      <w:r>
        <w:rPr>
          <w:rtl w:val="true"/>
        </w:rPr>
        <w:t xml:space="preserve">), </w:t>
      </w:r>
      <w:r>
        <w:rPr>
          <w:rtl w:val="true"/>
        </w:rPr>
        <w:t xml:space="preserve">מדובר בנאשם שהחזיק רובה מסוג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ושני אקדחים</w:t>
      </w:r>
      <w:r>
        <w:rPr>
          <w:rtl w:val="true"/>
        </w:rPr>
        <w:t xml:space="preserve">, </w:t>
      </w:r>
      <w:r>
        <w:rPr>
          <w:rtl w:val="true"/>
        </w:rPr>
        <w:t>בית המשפט העליון קיבל את ערעורה של המדינה על קולת העונש</w:t>
      </w:r>
      <w:r>
        <w:rPr>
          <w:rtl w:val="true"/>
        </w:rPr>
        <w:t xml:space="preserve">, </w:t>
      </w:r>
      <w:r>
        <w:rPr>
          <w:rtl w:val="true"/>
        </w:rPr>
        <w:t xml:space="preserve">וגזר על המשיב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המאסר לריצוי בעבודות שירות שנגזרו על המשיב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4978/19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מנסור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28.01.2020</w:t>
      </w:r>
      <w:r>
        <w:rPr>
          <w:rtl w:val="true"/>
        </w:rPr>
        <w:t xml:space="preserve">), </w:t>
      </w:r>
      <w:r>
        <w:rPr>
          <w:rtl w:val="true"/>
        </w:rPr>
        <w:t>קיבל בית המשפט העליון את ערעורם של המערערים</w:t>
      </w:r>
      <w:r>
        <w:rPr>
          <w:rtl w:val="true"/>
        </w:rPr>
        <w:t xml:space="preserve">, </w:t>
      </w:r>
      <w:r>
        <w:rPr>
          <w:rtl w:val="true"/>
        </w:rPr>
        <w:t>אשר הורשעו בעבירה של נשיאת והובלת כלי</w:t>
      </w:r>
      <w:r>
        <w:rPr>
          <w:rtl w:val="true"/>
        </w:rPr>
        <w:t>-</w:t>
      </w:r>
      <w:r>
        <w:rPr>
          <w:rtl w:val="true"/>
        </w:rPr>
        <w:t>נשק מסוגים שונים</w:t>
      </w:r>
      <w:r>
        <w:rPr>
          <w:rtl w:val="true"/>
        </w:rPr>
        <w:t xml:space="preserve">. </w:t>
      </w:r>
      <w:r>
        <w:rPr>
          <w:rtl w:val="true"/>
        </w:rPr>
        <w:t xml:space="preserve">חלף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המאסר בפועל שהוטלו על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הוא ירצה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ותשעת חודשי המאסר לריצוי בעבודות שירות הומרו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17935-01-20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 אגבריה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08.09.2020</w:t>
      </w:r>
      <w:r>
        <w:rPr>
          <w:rtl w:val="true"/>
        </w:rPr>
        <w:t xml:space="preserve">), </w:t>
      </w:r>
      <w:r>
        <w:rPr>
          <w:rtl w:val="true"/>
        </w:rPr>
        <w:t>הורשע הנאשם בעבירה של נשיאה והובלה של 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46608-06-19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בשאר אבו זינה </w:t>
      </w:r>
      <w:r>
        <w:rPr>
          <w:b/>
          <w:bCs/>
          <w:rtl w:val="true"/>
        </w:rPr>
        <w:t>(</w:t>
      </w:r>
      <w:r>
        <w:rPr>
          <w:b/>
          <w:bCs/>
        </w:rPr>
        <w:t>26.02.2020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הורשע הנאשם בעבירת נשיאה והובלה של רובה</w:t>
      </w:r>
      <w:r>
        <w:rPr>
          <w:rtl w:val="true"/>
        </w:rPr>
        <w:t xml:space="preserve">, </w:t>
      </w:r>
      <w:r>
        <w:rPr>
          <w:rtl w:val="true"/>
        </w:rPr>
        <w:t>תוך כדי בריחה מניידות המשטרה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גזר עליו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4343-12-19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עז אלדין מחאמיד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17.05.2020</w:t>
      </w:r>
      <w:r>
        <w:rPr>
          <w:rtl w:val="true"/>
        </w:rPr>
        <w:t xml:space="preserve">), </w:t>
      </w:r>
      <w:r>
        <w:rPr>
          <w:rtl w:val="true"/>
        </w:rPr>
        <w:t>הורשע הנאשם ביבוא של חלקי נשק ובהחזקת כלי</w:t>
      </w:r>
      <w:r>
        <w:rPr>
          <w:rtl w:val="true"/>
        </w:rPr>
        <w:t>-</w:t>
      </w:r>
      <w:r>
        <w:rPr>
          <w:rtl w:val="true"/>
        </w:rPr>
        <w:t>נשק שונים</w:t>
      </w:r>
      <w:r>
        <w:rPr>
          <w:rtl w:val="true"/>
        </w:rPr>
        <w:t xml:space="preserve">, </w:t>
      </w:r>
      <w:r>
        <w:rPr>
          <w:rtl w:val="true"/>
        </w:rPr>
        <w:t xml:space="preserve">ובית המשפט גזר עליו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52802-07-19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ראמי יונס </w:t>
      </w:r>
      <w:r>
        <w:rPr>
          <w:b/>
          <w:bCs/>
          <w:rtl w:val="true"/>
        </w:rPr>
        <w:t>(</w:t>
      </w:r>
      <w:r>
        <w:rPr>
          <w:b/>
          <w:bCs/>
        </w:rPr>
        <w:t>26.10.2020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הורשע הנאשם בעבירות של נשיאה והובלה של נשק וכן בירי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68600-12-19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דאהוד מחאמיד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19.03.2020</w:t>
      </w:r>
      <w:r>
        <w:rPr>
          <w:rtl w:val="true"/>
        </w:rPr>
        <w:t xml:space="preserve">), </w:t>
      </w:r>
      <w:r>
        <w:rPr>
          <w:rtl w:val="true"/>
        </w:rPr>
        <w:t>נדחה ערעורה של המדינה</w:t>
      </w:r>
      <w:r>
        <w:rPr>
          <w:rtl w:val="true"/>
        </w:rPr>
        <w:t xml:space="preserve">, </w:t>
      </w:r>
      <w:r>
        <w:rPr>
          <w:rtl w:val="true"/>
        </w:rPr>
        <w:t>על קולת העונש של המשיב</w:t>
      </w:r>
      <w:r>
        <w:rPr>
          <w:rtl w:val="true"/>
        </w:rPr>
        <w:t xml:space="preserve">, </w:t>
      </w:r>
      <w:r>
        <w:rPr>
          <w:rtl w:val="true"/>
        </w:rPr>
        <w:t>שהורשע בעבירות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ונגזרו עליו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32900-07-17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חודיפה מלחם </w:t>
      </w:r>
      <w:r>
        <w:rPr>
          <w:rtl w:val="true"/>
        </w:rPr>
        <w:t>(</w:t>
      </w:r>
      <w:r>
        <w:rPr/>
        <w:t>28.09.2017</w:t>
      </w:r>
      <w:r>
        <w:rPr>
          <w:rtl w:val="true"/>
        </w:rPr>
        <w:t xml:space="preserve">), </w:t>
      </w:r>
      <w:r>
        <w:rPr>
          <w:rtl w:val="true"/>
        </w:rPr>
        <w:t>קיבל בית משפט קמא את ערעורה של המדינה</w:t>
      </w:r>
      <w:r>
        <w:rPr>
          <w:rtl w:val="true"/>
        </w:rPr>
        <w:t xml:space="preserve">, </w:t>
      </w:r>
      <w:r>
        <w:rPr>
          <w:rtl w:val="true"/>
        </w:rPr>
        <w:t>והחמיר את עונשו של המשיב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עת הוא הורשע בהחזקת סוגים שונים של 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8286-05-18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אשרף מריסאת </w:t>
      </w:r>
      <w:r>
        <w:rPr>
          <w:b/>
          <w:bCs/>
          <w:rtl w:val="true"/>
        </w:rPr>
        <w:t>(</w:t>
      </w:r>
      <w:r>
        <w:rPr>
          <w:b/>
          <w:bCs/>
        </w:rPr>
        <w:t>19.07.2018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התקבל ערעורה של המדינה</w:t>
      </w:r>
      <w:r>
        <w:rPr>
          <w:rtl w:val="true"/>
        </w:rPr>
        <w:t xml:space="preserve">, </w:t>
      </w:r>
      <w:r>
        <w:rPr>
          <w:rtl w:val="true"/>
        </w:rPr>
        <w:t>ועונשו של המשיב הוחמר 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 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>עת הוא הורשע בהחזקת כלי</w:t>
      </w:r>
      <w:r>
        <w:rPr>
          <w:rtl w:val="true"/>
        </w:rPr>
        <w:t>-</w:t>
      </w:r>
      <w:r>
        <w:rPr>
          <w:rtl w:val="true"/>
        </w:rPr>
        <w:t>נשק מסוגים שונים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הפנה ב</w:t>
      </w:r>
      <w:r>
        <w:rPr>
          <w:rtl w:val="true"/>
        </w:rPr>
        <w:t>"</w:t>
      </w:r>
      <w:r>
        <w:rPr>
          <w:rtl w:val="true"/>
        </w:rPr>
        <w:t>כ המאשימה לשני פסקי</w:t>
      </w:r>
      <w:r>
        <w:rPr>
          <w:rtl w:val="true"/>
        </w:rPr>
        <w:t>-</w:t>
      </w:r>
      <w:r>
        <w:rPr>
          <w:rtl w:val="true"/>
        </w:rPr>
        <w:t xml:space="preserve">דין בעניין </w:t>
      </w:r>
      <w:r>
        <w:rPr>
          <w:b/>
          <w:b/>
          <w:bCs/>
          <w:rtl w:val="true"/>
        </w:rPr>
        <w:t>בסל</w:t>
      </w:r>
      <w:r>
        <w:rPr>
          <w:rtl w:val="true"/>
        </w:rPr>
        <w:t xml:space="preserve"> ובעניין </w:t>
      </w:r>
      <w:r>
        <w:rPr>
          <w:b/>
          <w:b/>
          <w:bCs/>
          <w:rtl w:val="true"/>
        </w:rPr>
        <w:t>אזברגה</w:t>
      </w:r>
      <w:r>
        <w:rPr>
          <w:rtl w:val="true"/>
        </w:rPr>
        <w:t xml:space="preserve">, </w:t>
      </w:r>
      <w:r>
        <w:rPr>
          <w:rtl w:val="true"/>
        </w:rPr>
        <w:t xml:space="preserve">בהם הוטלו על הנאשמים </w:t>
      </w:r>
      <w:r>
        <w:rPr/>
        <w:t>16-18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כך 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עניינם מובחן מענייננו</w:t>
      </w:r>
      <w:r>
        <w:rPr>
          <w:rtl w:val="true"/>
        </w:rPr>
        <w:t xml:space="preserve">, </w:t>
      </w:r>
      <w:r>
        <w:rPr>
          <w:rtl w:val="true"/>
        </w:rPr>
        <w:t>הואיל ודובר שם בעבירות שחומרתן מצויה ברף העליון של עבירות הנשיאה וההובלה של 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הן בשל מרחק ההובלה הגדול</w:t>
      </w:r>
      <w:r>
        <w:rPr>
          <w:rtl w:val="true"/>
        </w:rPr>
        <w:t xml:space="preserve">, </w:t>
      </w:r>
      <w:r>
        <w:rPr>
          <w:rtl w:val="true"/>
        </w:rPr>
        <w:t>הן בשל משך</w:t>
      </w:r>
      <w:r>
        <w:rPr>
          <w:rtl w:val="true"/>
        </w:rPr>
        <w:t>-</w:t>
      </w:r>
      <w:r>
        <w:rPr>
          <w:rtl w:val="true"/>
        </w:rPr>
        <w:t>זמן הנשיאה</w:t>
      </w:r>
      <w:r>
        <w:rPr>
          <w:rtl w:val="true"/>
        </w:rPr>
        <w:t xml:space="preserve">, </w:t>
      </w:r>
      <w:r>
        <w:rPr>
          <w:rtl w:val="true"/>
        </w:rPr>
        <w:t>והן בשל העובדה</w:t>
      </w:r>
      <w:r>
        <w:rPr>
          <w:rtl w:val="true"/>
        </w:rPr>
        <w:t xml:space="preserve">, </w:t>
      </w:r>
      <w:r>
        <w:rPr>
          <w:rtl w:val="true"/>
        </w:rPr>
        <w:t>שמטרת החזקת הנשק הייתה לסחור 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הדגיש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במובחן מן המקרה של הנאשם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tl w:val="true"/>
        </w:rPr>
        <w:t xml:space="preserve"> הוגש תסקיר</w:t>
      </w:r>
      <w:r>
        <w:rPr>
          <w:rtl w:val="true"/>
        </w:rPr>
        <w:t xml:space="preserve">, </w:t>
      </w:r>
      <w:r>
        <w:rPr>
          <w:rtl w:val="true"/>
        </w:rPr>
        <w:t>לפיו קיים היה סיכון גבוה להישנות מעשים דומים של הנאשם בעתיד</w:t>
      </w:r>
      <w:r>
        <w:rPr>
          <w:rtl w:val="true"/>
        </w:rPr>
        <w:t xml:space="preserve">. 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ריצה ג</w:t>
      </w:r>
      <w:r>
        <w:rPr>
          <w:rtl w:val="true"/>
        </w:rPr>
        <w:t>'</w:t>
      </w:r>
      <w:r>
        <w:rPr>
          <w:rtl w:val="true"/>
        </w:rPr>
        <w:t xml:space="preserve">באלי מאסר קודם בן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והעבירה החדשה בוצעה תוך פחות מחודשיים משחרורו מן המאסר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tl w:val="true"/>
        </w:rPr>
        <w:t>-</w:t>
      </w:r>
      <w:r>
        <w:rPr>
          <w:rtl w:val="true"/>
        </w:rPr>
        <w:t>כן הודגש</w:t>
      </w:r>
      <w:r>
        <w:rPr>
          <w:rtl w:val="true"/>
        </w:rPr>
        <w:t xml:space="preserve">, </w:t>
      </w:r>
      <w:r>
        <w:rPr>
          <w:rtl w:val="true"/>
        </w:rPr>
        <w:t>כי הרקע לעבירה היה סכסוך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ובנוסף נטען</w:t>
      </w:r>
      <w:r>
        <w:rPr>
          <w:rtl w:val="true"/>
        </w:rPr>
        <w:t xml:space="preserve">, </w:t>
      </w:r>
      <w:r>
        <w:rPr>
          <w:rtl w:val="true"/>
        </w:rPr>
        <w:t xml:space="preserve">כי בעניין </w:t>
      </w:r>
      <w:r>
        <w:rPr>
          <w:b/>
          <w:b/>
          <w:bCs/>
          <w:rtl w:val="true"/>
        </w:rPr>
        <w:t>מרזוק</w:t>
      </w:r>
      <w:r>
        <w:rPr>
          <w:rtl w:val="true"/>
        </w:rPr>
        <w:t xml:space="preserve"> הדגיש בית המשפט העליון</w:t>
      </w:r>
      <w:r>
        <w:rPr>
          <w:rtl w:val="true"/>
        </w:rPr>
        <w:t xml:space="preserve">, </w:t>
      </w:r>
      <w:r>
        <w:rPr>
          <w:rtl w:val="true"/>
        </w:rPr>
        <w:t>כי התנהגותו של המערער הייתה חמורה הואיל והוא שלף את הנשק תוך כדי תקיפת השוטר</w:t>
      </w:r>
      <w:r>
        <w:rPr>
          <w:rtl w:val="true"/>
        </w:rPr>
        <w:t xml:space="preserve">, </w:t>
      </w:r>
      <w:r>
        <w:rPr>
          <w:rtl w:val="true"/>
        </w:rPr>
        <w:t>והדבר מעיד על רמת מסוכנותו</w:t>
      </w:r>
      <w:r>
        <w:rPr>
          <w:rtl w:val="true"/>
        </w:rPr>
        <w:t xml:space="preserve">. </w:t>
      </w:r>
      <w:r>
        <w:rPr>
          <w:rtl w:val="true"/>
        </w:rPr>
        <w:t>למרות שמדובר במקרים דומים</w:t>
      </w:r>
      <w:r>
        <w:rPr>
          <w:rtl w:val="true"/>
        </w:rPr>
        <w:t xml:space="preserve">, </w:t>
      </w:r>
      <w:r>
        <w:rPr>
          <w:rtl w:val="true"/>
        </w:rPr>
        <w:t>כך אליבא דב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נסיבות המקרה בעניין מרזוק חמורות יותר</w:t>
      </w:r>
      <w:r>
        <w:rPr>
          <w:rtl w:val="true"/>
        </w:rPr>
        <w:t xml:space="preserve">, </w:t>
      </w:r>
      <w:r>
        <w:rPr>
          <w:rtl w:val="true"/>
        </w:rPr>
        <w:t xml:space="preserve">ולפיכך יש להטיל על הנאשם עונש שיפחת </w:t>
      </w:r>
      <w:hyperlink r:id="rId28">
        <w:r>
          <w:rPr>
            <w:rStyle w:val="Hyperlink"/>
            <w:color w:val="0000FF"/>
            <w:u w:val="single"/>
            <w:rtl w:val="true"/>
          </w:rPr>
          <w:t xml:space="preserve">מ </w:t>
        </w:r>
        <w:r>
          <w:rPr>
            <w:rStyle w:val="Hyperlink"/>
            <w:color w:val="0000FF"/>
            <w:u w:val="single"/>
          </w:rPr>
          <w:t>16-18</w:t>
        </w:r>
      </w:hyperlink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 עצמו העיד וטען</w:t>
      </w:r>
      <w:r>
        <w:rPr>
          <w:rtl w:val="true"/>
        </w:rPr>
        <w:t xml:space="preserve">, </w:t>
      </w:r>
      <w:r>
        <w:rPr>
          <w:rtl w:val="true"/>
        </w:rPr>
        <w:t>כי הוא מצר על מעשיו</w:t>
      </w:r>
      <w:r>
        <w:rPr>
          <w:rtl w:val="true"/>
        </w:rPr>
        <w:t xml:space="preserve">, </w:t>
      </w:r>
      <w:r>
        <w:rPr>
          <w:rtl w:val="true"/>
        </w:rPr>
        <w:t>וביקש להתחשב בנסיבותיו האישיות בגזירת 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פסיקה עקבית וארוכת</w:t>
      </w:r>
      <w:r>
        <w:rPr>
          <w:rtl w:val="true"/>
        </w:rPr>
        <w:t>-</w:t>
      </w:r>
      <w:r>
        <w:rPr>
          <w:rtl w:val="true"/>
        </w:rPr>
        <w:t>שנים של בית המשפט העליון קבעה</w:t>
      </w:r>
      <w:r>
        <w:rPr>
          <w:rtl w:val="true"/>
        </w:rPr>
        <w:t xml:space="preserve">, </w:t>
      </w:r>
      <w:r>
        <w:rPr>
          <w:rtl w:val="true"/>
        </w:rPr>
        <w:t>כי יש לראות את עבירות הנשק בחומרה יתרה</w:t>
      </w:r>
      <w:r>
        <w:rPr>
          <w:rtl w:val="true"/>
        </w:rPr>
        <w:t xml:space="preserve">, </w:t>
      </w:r>
      <w:r>
        <w:rPr>
          <w:rtl w:val="true"/>
        </w:rPr>
        <w:t>וזאת נוכח הסכנה הגבוהה הנשקפת מהן</w:t>
      </w:r>
      <w:r>
        <w:rPr>
          <w:rtl w:val="true"/>
        </w:rPr>
        <w:t xml:space="preserve">. </w:t>
      </w:r>
      <w:r>
        <w:rPr>
          <w:rtl w:val="true"/>
        </w:rPr>
        <w:t xml:space="preserve">אף </w:t>
      </w:r>
      <w:r>
        <w:rPr>
          <w:spacing w:val="10"/>
          <w:rtl w:val="true"/>
        </w:rPr>
        <w:t>המחוקק ביטא את גישתו המחמירה לעבירות אלו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עת קבע בצידן ענישה מחמירה</w:t>
      </w:r>
      <w:r>
        <w:rPr>
          <w:spacing w:val="10"/>
          <w:rtl w:val="true"/>
        </w:rPr>
        <w:t>.</w:t>
      </w:r>
    </w:p>
    <w:p>
      <w:pPr>
        <w:pStyle w:val="Ruller51"/>
        <w:spacing w:lineRule="auto" w:line="360"/>
        <w:ind w:start="793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יפים לענייננו 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מזוז 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סובח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5.11.2019</w:t>
      </w:r>
      <w:r>
        <w:rPr>
          <w:rFonts w:cs="David" w:ascii="David" w:hAnsi="David"/>
          <w:sz w:val="24"/>
          <w:szCs w:val="24"/>
          <w:rtl w:val="true"/>
        </w:rPr>
        <w:t>)):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 התשתית ו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הגורם בלעדו איין</w:t>
      </w:r>
      <w:r>
        <w:rPr>
          <w:b/>
          <w:bCs/>
          <w:rtl w:val="true"/>
        </w:rPr>
        <w:t>' (</w:t>
      </w:r>
      <w:r>
        <w:rPr>
          <w:b/>
          <w:bCs/>
        </w:rPr>
        <w:t>causa sine qua non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למגוון רחב של 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 בעבירות איומים ושוד מזוין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המשך בעבירות גרימת חבלה חמורה וכלה בעבירות המתה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על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מעבר למאמץ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לשים יד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 כלי הנשק הבלתי חוקיים הרבים שבידי 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 ענישה מחמירה ומרתיעה בעבירות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 על עצם החזקה או רכישה שלא כדין של נשק</w:t>
      </w:r>
      <w:r>
        <w:rPr>
          <w:b/>
          <w:bCs/>
          <w:rtl w:val="true"/>
        </w:rPr>
        <w:t xml:space="preserve">. [...] </w:t>
      </w:r>
      <w:r>
        <w:rPr>
          <w:b/>
          <w:b/>
          <w:bCs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בבחינת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ייבוש הביצה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המשמשת ערס לגידולן של תופעות 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מהלך כזה מחייב הירתמות גם של בתי 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על ידי ענישה מחמירה ומרתיעה לעבירות נשק בלתי חוקי באשר הן </w:t>
      </w:r>
      <w:r>
        <w:rPr>
          <w:b/>
          <w:bCs/>
          <w:rtl w:val="true"/>
        </w:rPr>
        <w:t>[...]"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אף יש לזכור</w:t>
      </w:r>
      <w:r>
        <w:rPr>
          <w:rtl w:val="true"/>
        </w:rPr>
        <w:t xml:space="preserve">, </w:t>
      </w:r>
      <w:r>
        <w:rPr>
          <w:rtl w:val="true"/>
        </w:rPr>
        <w:t>כי לצד עבירות הנשק בהן הורשע הנאשם</w:t>
      </w:r>
      <w:r>
        <w:rPr>
          <w:rtl w:val="true"/>
        </w:rPr>
        <w:t xml:space="preserve">, </w:t>
      </w:r>
      <w:r>
        <w:rPr>
          <w:rtl w:val="true"/>
        </w:rPr>
        <w:t>הוא הורשע אף בעבירה של 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>וגם לכך יש ליתן משקל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במעשיו פגע הנאשם בביטחון הפרט והציבור</w:t>
      </w:r>
      <w:r>
        <w:rPr>
          <w:rtl w:val="true"/>
        </w:rPr>
        <w:t xml:space="preserve">, </w:t>
      </w:r>
      <w:r>
        <w:rPr>
          <w:rtl w:val="true"/>
        </w:rPr>
        <w:t>ובשלומו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 xml:space="preserve">ראשית נתגלה הנאשם עת נושא הוא על גופו נשק דמוי רובה סער </w:t>
      </w:r>
      <w:r>
        <w:rPr/>
        <w:t>M-16</w:t>
      </w:r>
      <w:r>
        <w:rPr>
          <w:rtl w:val="true"/>
        </w:rPr>
        <w:t xml:space="preserve"> , </w:t>
      </w:r>
      <w:r>
        <w:rPr>
          <w:rtl w:val="true"/>
        </w:rPr>
        <w:t>בלא רשות על</w:t>
      </w:r>
      <w:r>
        <w:rPr>
          <w:rtl w:val="true"/>
        </w:rPr>
        <w:t>-</w:t>
      </w:r>
      <w:r>
        <w:rPr>
          <w:rtl w:val="true"/>
        </w:rPr>
        <w:t>פי דין לנשיאתו או להובלתו</w:t>
      </w:r>
      <w:r>
        <w:rPr>
          <w:rtl w:val="true"/>
        </w:rPr>
        <w:t xml:space="preserve">. </w:t>
      </w:r>
      <w:r>
        <w:rPr>
          <w:rtl w:val="true"/>
        </w:rPr>
        <w:t>בנוסף לאמור</w:t>
      </w:r>
      <w:r>
        <w:rPr>
          <w:rtl w:val="true"/>
        </w:rPr>
        <w:t xml:space="preserve">, </w:t>
      </w:r>
      <w:r>
        <w:rPr>
          <w:rtl w:val="true"/>
        </w:rPr>
        <w:t xml:space="preserve">נשא הנאשם והוביל על גופו ובכיס מכנסיו תשעה כדורים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ושתי מחסניות תואמות לנשק טעונות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והשנייה ב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בלא רשות על</w:t>
      </w:r>
      <w:r>
        <w:rPr>
          <w:rtl w:val="true"/>
        </w:rPr>
        <w:t>-</w:t>
      </w:r>
      <w:r>
        <w:rPr>
          <w:rtl w:val="true"/>
        </w:rPr>
        <w:t>פי דין לנשיאתן או הובלתן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אם לא די בכך</w:t>
      </w:r>
      <w:r>
        <w:rPr>
          <w:rtl w:val="true"/>
        </w:rPr>
        <w:t xml:space="preserve">, </w:t>
      </w:r>
      <w:r>
        <w:rPr>
          <w:rtl w:val="true"/>
        </w:rPr>
        <w:t>הרי שעת קראו השוטרים לעברו של הנאשם</w:t>
      </w:r>
      <w:r>
        <w:rPr>
          <w:rtl w:val="true"/>
        </w:rPr>
        <w:t xml:space="preserve">, </w:t>
      </w:r>
      <w:r>
        <w:rPr>
          <w:rtl w:val="true"/>
        </w:rPr>
        <w:t>השליך הלה את הנשק למקום שלא היה נגיש להגעה מידית של השוטרים</w:t>
      </w:r>
      <w:r>
        <w:rPr>
          <w:rtl w:val="true"/>
        </w:rPr>
        <w:t xml:space="preserve">, </w:t>
      </w:r>
      <w:r>
        <w:rPr>
          <w:rtl w:val="true"/>
        </w:rPr>
        <w:t>ומיד לאחר</w:t>
      </w:r>
      <w:r>
        <w:rPr>
          <w:rtl w:val="true"/>
        </w:rPr>
        <w:t>-</w:t>
      </w:r>
      <w:r>
        <w:rPr>
          <w:rtl w:val="true"/>
        </w:rPr>
        <w:t>מכן קפץ הנאשם עצמו למקום אליו השליך את הנשק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עולה בבירור מן האמור לעיל</w:t>
      </w:r>
      <w:r>
        <w:rPr>
          <w:rtl w:val="true"/>
        </w:rPr>
        <w:t xml:space="preserve">, </w:t>
      </w:r>
      <w:r>
        <w:rPr>
          <w:rtl w:val="true"/>
        </w:rPr>
        <w:t>כי לנאשם היו הזדמנויות למכביר לעצור את מעשיו</w:t>
      </w:r>
      <w:r>
        <w:rPr>
          <w:rtl w:val="true"/>
        </w:rPr>
        <w:t xml:space="preserve">,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הוא לא עשה כן</w:t>
      </w:r>
      <w:r>
        <w:rPr>
          <w:rtl w:val="true"/>
        </w:rPr>
        <w:t xml:space="preserve">. </w:t>
      </w:r>
      <w:r>
        <w:rPr>
          <w:rtl w:val="true"/>
        </w:rPr>
        <w:t>נהפוך הוא – הנאשם עשה כל שלאל ידו על</w:t>
      </w:r>
      <w:r>
        <w:rPr>
          <w:rtl w:val="true"/>
        </w:rPr>
        <w:t>-</w:t>
      </w:r>
      <w:r>
        <w:rPr>
          <w:rtl w:val="true"/>
        </w:rPr>
        <w:t>מנת לוודא שכלי</w:t>
      </w:r>
      <w:r>
        <w:rPr>
          <w:rtl w:val="true"/>
        </w:rPr>
        <w:t>-</w:t>
      </w:r>
      <w:r>
        <w:rPr>
          <w:rtl w:val="true"/>
        </w:rPr>
        <w:t xml:space="preserve">הנשק לא </w:t>
      </w:r>
      <w:r>
        <w:rPr>
          <w:rtl w:val="true"/>
        </w:rPr>
        <w:t>"</w:t>
      </w:r>
      <w:r>
        <w:rPr>
          <w:rtl w:val="true"/>
        </w:rPr>
        <w:t>ייפול</w:t>
      </w:r>
      <w:r>
        <w:rPr>
          <w:rtl w:val="true"/>
        </w:rPr>
        <w:t xml:space="preserve">" </w:t>
      </w:r>
      <w:r>
        <w:rPr>
          <w:rtl w:val="true"/>
        </w:rPr>
        <w:t>לידי רשויות אכיפת החוק</w:t>
      </w:r>
      <w:r>
        <w:rPr>
          <w:rtl w:val="true"/>
        </w:rPr>
        <w:t xml:space="preserve">, </w:t>
      </w:r>
      <w:r>
        <w:rPr>
          <w:rtl w:val="true"/>
        </w:rPr>
        <w:t>כמו גם הוא בעצמו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Ruller41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באשר למדיניות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הפנו באי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 הצדדים לפסיקה רלוונטית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הגישו לעיוני אסופה נרחבת של פסיקה הן מבית המשפט העליון והן מבתי המשפט המחוזיים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מן החומר האמור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 קיים מנעד רחב ביותר של פסיקה באשר לענישה בעבירות האמורות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>-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קיימת פסיקה שבה הסתפקו בתי המשפט בהטלת עונש מאסר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קיימת פסיקה</w:t>
      </w:r>
      <w:r>
        <w:rPr>
          <w:rtl w:val="true"/>
        </w:rPr>
        <w:t xml:space="preserve">, </w:t>
      </w:r>
      <w:r>
        <w:rPr>
          <w:rtl w:val="true"/>
        </w:rPr>
        <w:t>שבה עמדו בתי המשפט על</w:t>
      </w:r>
      <w:r>
        <w:rPr>
          <w:rtl w:val="true"/>
        </w:rPr>
        <w:t>-</w:t>
      </w:r>
      <w:r>
        <w:rPr>
          <w:rtl w:val="true"/>
        </w:rPr>
        <w:t>כך שלא ניתן להימנע בעבירה מסוג זה מלהטיל על הנאשם עונש של מאסר בפועל לריצוי מאחורי סורג 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קראתי את הפסיקה אליה הפנו הצדדים</w:t>
      </w:r>
      <w:r>
        <w:rPr>
          <w:rtl w:val="true"/>
        </w:rPr>
        <w:t xml:space="preserve">, </w:t>
      </w:r>
      <w:r>
        <w:rPr>
          <w:rtl w:val="true"/>
        </w:rPr>
        <w:t>עת מן הפסיקה אליה הפנתה המאשימה עולות נסיבות חמורות מן הנסיבות אשר מתוארות בכתב</w:t>
      </w:r>
      <w:r>
        <w:rPr>
          <w:rtl w:val="true"/>
        </w:rPr>
        <w:t>-</w:t>
      </w:r>
      <w:r>
        <w:rPr>
          <w:rtl w:val="true"/>
        </w:rPr>
        <w:t>האישום בענייננו</w:t>
      </w:r>
      <w:r>
        <w:rPr>
          <w:rtl w:val="true"/>
        </w:rPr>
        <w:t xml:space="preserve">, </w:t>
      </w:r>
      <w:r>
        <w:rPr>
          <w:rtl w:val="true"/>
        </w:rPr>
        <w:t>לרבות תקיפת שוטר בנסיבות מחמירות</w:t>
      </w:r>
      <w:r>
        <w:rPr>
          <w:rtl w:val="true"/>
        </w:rPr>
        <w:t xml:space="preserve">, </w:t>
      </w:r>
      <w:r>
        <w:rPr>
          <w:rtl w:val="true"/>
        </w:rPr>
        <w:t>עבר פלילי מכביד של הנאשמים</w:t>
      </w:r>
      <w:r>
        <w:rPr>
          <w:rtl w:val="true"/>
        </w:rPr>
        <w:t xml:space="preserve">, </w:t>
      </w:r>
      <w:r>
        <w:rPr>
          <w:rtl w:val="true"/>
        </w:rPr>
        <w:t>החזקת נשק לתקופה ארוכה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לאורכה ולרוחבה של הפסיקה אליה הפנה ב</w:t>
      </w:r>
      <w:r>
        <w:rPr>
          <w:rtl w:val="true"/>
        </w:rPr>
        <w:t>"</w:t>
      </w:r>
      <w:r>
        <w:rPr>
          <w:rtl w:val="true"/>
        </w:rPr>
        <w:t>כ הנאשם עולה</w:t>
      </w:r>
      <w:r>
        <w:rPr>
          <w:rtl w:val="true"/>
        </w:rPr>
        <w:t xml:space="preserve">, </w:t>
      </w:r>
      <w:r>
        <w:rPr>
          <w:rtl w:val="true"/>
        </w:rPr>
        <w:t>כי גם בהן הנסיבות שונות בתכלית מאלו שבעניינו של הנאשם שבפניי</w:t>
      </w:r>
      <w:r>
        <w:rPr>
          <w:rtl w:val="true"/>
        </w:rPr>
        <w:t xml:space="preserve">, </w:t>
      </w:r>
      <w:r>
        <w:rPr>
          <w:rtl w:val="true"/>
        </w:rPr>
        <w:t>לרבות העובדה</w:t>
      </w:r>
      <w:r>
        <w:rPr>
          <w:rtl w:val="true"/>
        </w:rPr>
        <w:t xml:space="preserve">, </w:t>
      </w:r>
      <w:r>
        <w:rPr>
          <w:rtl w:val="true"/>
        </w:rPr>
        <w:t>כי חלקן נדונו בערכאות הערעור השונות</w:t>
      </w:r>
      <w:r>
        <w:rPr>
          <w:rtl w:val="true"/>
        </w:rPr>
        <w:t xml:space="preserve">, </w:t>
      </w:r>
      <w:r>
        <w:rPr>
          <w:rtl w:val="true"/>
        </w:rPr>
        <w:t>וכי ערכאת הערעור אינה נוטה למצות את חומרת הדין עם 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לצד הפסיקה האמורה</w:t>
      </w:r>
      <w:r>
        <w:rPr>
          <w:rtl w:val="true"/>
        </w:rPr>
        <w:t xml:space="preserve">, </w:t>
      </w:r>
      <w:r>
        <w:rPr>
          <w:rtl w:val="true"/>
        </w:rPr>
        <w:t>מעיון מעמיק בהלכות בית המשפט העליון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  בית המשפט העליון התווה בפסיקה ארוכת</w:t>
      </w:r>
      <w:r>
        <w:rPr>
          <w:rtl w:val="true"/>
        </w:rPr>
        <w:t>-</w:t>
      </w:r>
      <w:r>
        <w:rPr>
          <w:rtl w:val="true"/>
        </w:rPr>
        <w:t>שנים את מדיניות הענישה הראויה בעבירות 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יפים לענייננו דבריה של 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tl w:val="true"/>
        </w:rPr>
        <w:t xml:space="preserve">, </w:t>
      </w:r>
      <w:r>
        <w:rPr>
          <w:rtl w:val="true"/>
        </w:rPr>
        <w:t>השופטת א</w:t>
      </w:r>
      <w:r>
        <w:rPr>
          <w:rtl w:val="true"/>
        </w:rPr>
        <w:t xml:space="preserve">. </w:t>
      </w:r>
      <w:r>
        <w:rPr>
          <w:rtl w:val="true"/>
        </w:rPr>
        <w:t>חיות בעניין ג</w:t>
      </w:r>
      <w:r>
        <w:rPr>
          <w:rtl w:val="true"/>
        </w:rPr>
        <w:t>'</w:t>
      </w:r>
      <w:r>
        <w:rPr>
          <w:rtl w:val="true"/>
        </w:rPr>
        <w:t>אבלי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Ruller42"/>
        <w:ind w:start="1440" w:end="0"/>
        <w:jc w:val="both"/>
        <w:rPr/>
      </w:pPr>
      <w:r>
        <w:rPr>
          <w:rFonts w:cs="David" w:ascii="David" w:hAnsi="David"/>
          <w:b/>
          <w:bCs/>
          <w:spacing w:val="0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בית משפט זה עמד פעמים רבות על </w:t>
      </w:r>
      <w:r>
        <w:rPr>
          <w:rFonts w:ascii="David" w:hAnsi="David" w:cs="David"/>
          <w:b/>
          <w:b/>
          <w:bCs/>
          <w:rtl w:val="true"/>
        </w:rPr>
        <w:t>החומרה היתרה הגלומה בביצוע עבירות בנשק ובכללן העבירה של החזקת נשק או נשיאתו שלא כדין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u w:val="single"/>
          <w:rtl w:val="true"/>
        </w:rPr>
        <w:t xml:space="preserve">עבירות אלה מקימות סיכון חמור לשלום הציבור וביטחונו ומחייבות 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 w:cs="David"/>
          <w:b/>
          <w:b/>
          <w:bCs/>
          <w:u w:val="single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David" w:ascii="David" w:hAnsi="David"/>
          <w:b/>
          <w:bCs/>
          <w:rtl w:val="true"/>
        </w:rPr>
        <w:t>" (</w:t>
      </w:r>
      <w:hyperlink r:id="rId30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5120/11</w:t>
        </w:r>
      </w:hyperlink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שתיווי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spacing w:val="0"/>
          <w:rtl w:val="true"/>
        </w:rPr>
        <w:t>, 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בפסקה </w:t>
      </w:r>
      <w:r>
        <w:rPr>
          <w:rFonts w:cs="David" w:ascii="David" w:hAnsi="David"/>
          <w:b/>
          <w:bCs/>
          <w:spacing w:val="0"/>
        </w:rPr>
        <w:t>5</w:t>
      </w:r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18.12.2011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31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4329/10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פלוני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25.10.2010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 w:cs="David"/>
          <w:b/>
          <w:b/>
          <w:bCs/>
          <w:rtl w:val="true"/>
        </w:rPr>
        <w:t>עוד נפסק כי חומרתן של העבירות בנשק אינה מסתכמת רק בנזק שאירע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כי אם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 בפוטנציאל </w:t>
      </w:r>
      <w:r>
        <w:rPr>
          <w:rFonts w:ascii="David" w:hAnsi="David" w:cs="David"/>
          <w:b/>
          <w:b/>
          <w:bCs/>
          <w:rtl w:val="true"/>
        </w:rPr>
        <w:t xml:space="preserve">הנזק הנובע מאותן עבירות </w:t>
      </w:r>
      <w:r>
        <w:rPr>
          <w:rFonts w:cs="David" w:ascii="David" w:hAnsi="David"/>
          <w:b/>
          <w:bCs/>
          <w:rtl w:val="true"/>
        </w:rPr>
        <w:t>(</w:t>
      </w:r>
      <w:hyperlink r:id="rId32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116/13</w:t>
        </w:r>
      </w:hyperlink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וקנין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rtl w:val="true"/>
        </w:rPr>
        <w:t xml:space="preserve">בפסקה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31.7.2013</w:t>
      </w:r>
      <w:r>
        <w:rPr>
          <w:rFonts w:cs="David" w:ascii="David" w:hAnsi="David"/>
          <w:b/>
          <w:bCs/>
          <w:rtl w:val="true"/>
        </w:rPr>
        <w:t xml:space="preserve">))"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ובפסק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דינו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פוגלמן מן העת האחרונה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קיימת מגמה של החמרה בענישה בעבירות הנשק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8017/20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פאדי גריפאת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22.12.2020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Ruller41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בית משפט זה עמד בשורה ארוכה של פסקי דין על החומרה היתרה של עבירות הנשק ועל הסכנה הגבוהה שנשקפת מהן לשלום הציבור ולביטחונו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מיני רבים</w:t>
      </w:r>
      <w:r>
        <w:rPr>
          <w:b/>
          <w:bCs/>
          <w:rtl w:val="true"/>
        </w:rPr>
        <w:t xml:space="preserve">, </w:t>
      </w: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1944/20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אמארה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2.9.2020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 אמארה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עניין געביס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חומרתן של עבירות אלו נובעת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 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גם מהחשש כי הנשק יועבר למי שמתכוון לעשות בו שימוש לפעילות עבריינית או לפעילות טרור </w:t>
      </w:r>
      <w:r>
        <w:rPr>
          <w:b/>
          <w:bCs/>
          <w:rtl w:val="true"/>
        </w:rPr>
        <w:t>(</w:t>
      </w:r>
      <w:hyperlink r:id="rId3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4945/13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סלימאן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</w:t>
      </w:r>
      <w:r>
        <w:rPr>
          <w:b/>
          <w:bCs/>
        </w:rPr>
        <w:t>19.1.2014</w:t>
      </w:r>
      <w:r>
        <w:rPr>
          <w:b/>
          <w:bCs/>
          <w:rtl w:val="true"/>
        </w:rPr>
        <w:t xml:space="preserve">); 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2251/11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4.12.2011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 נפאע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u w:val="single"/>
          <w:rtl w:val="true"/>
        </w:rPr>
        <w:t>נוכח האמור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חזר וציין בית משפט זה כי קיימת מגמה של החמרה בענישה בעבירות אלו וזאת על מנת להרתיע מפני ביצוען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 עניין אמארה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; </w:t>
      </w:r>
      <w:hyperlink r:id="rId3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8045/17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בראנסי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 xml:space="preserve">פסקאות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16.8.2018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 בראנסי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עניין נפאע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)". </w:t>
      </w:r>
      <w:r>
        <w:rPr>
          <w:rtl w:val="true"/>
        </w:rPr>
        <w:t>(</w:t>
      </w:r>
      <w:r>
        <w:rPr>
          <w:rtl w:val="true"/>
        </w:rPr>
        <w:t>ההדגשה אינה במקור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לזכור</w:t>
      </w:r>
      <w:r>
        <w:rPr>
          <w:rtl w:val="true"/>
        </w:rPr>
        <w:t xml:space="preserve">, </w:t>
      </w:r>
      <w:r>
        <w:rPr>
          <w:rtl w:val="true"/>
        </w:rPr>
        <w:t>כי העיקרון הנוהג בפסיקה קובע</w:t>
      </w:r>
      <w:r>
        <w:rPr>
          <w:rtl w:val="true"/>
        </w:rPr>
        <w:t xml:space="preserve">, </w:t>
      </w:r>
      <w:r>
        <w:rPr>
          <w:rtl w:val="true"/>
        </w:rPr>
        <w:t>שהענישה היא אינדיבידואלית</w:t>
      </w:r>
      <w:r>
        <w:rPr>
          <w:rtl w:val="true"/>
        </w:rPr>
        <w:t xml:space="preserve">, </w:t>
      </w:r>
      <w:r>
        <w:rPr>
          <w:rtl w:val="true"/>
        </w:rPr>
        <w:t>הכול לפי נסיבות ביצוע העבירה ונסיבותיו של מבצע 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יפים לענייננו</w:t>
      </w:r>
      <w:r>
        <w:rPr>
          <w:rtl w:val="true"/>
        </w:rPr>
        <w:t xml:space="preserve">, </w:t>
      </w:r>
      <w:r>
        <w:rPr>
          <w:rtl w:val="true"/>
        </w:rPr>
        <w:t>דבריו של המשנה לנשיאה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מ</w:t>
      </w:r>
      <w:r>
        <w:rPr>
          <w:rtl w:val="true"/>
        </w:rPr>
        <w:t xml:space="preserve">' </w:t>
      </w:r>
      <w:r>
        <w:rPr>
          <w:rtl w:val="true"/>
        </w:rPr>
        <w:t>אלון ז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 xml:space="preserve">- </w:t>
      </w:r>
      <w:hyperlink r:id="rId3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433/89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אטיאס 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 ישראל 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 מג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170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start="1296" w:end="0"/>
        <w:jc w:val="both"/>
        <w:rPr>
          <w:rFonts w:cs="Arial"/>
          <w:sz w:val="22"/>
          <w:szCs w:val="22"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כידוע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אחד השיקולים החשובים בשיקולי הענישה הוא מהותה של העבירה וחומרתה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שיקול זה קשור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 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בקשר הדוק עם שיקול ההרתעה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למען ישמעו וייראו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לשני שיקולים אלה מיתוסף שיקול 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והוא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קיום מדיניות אחידה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 האפשר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שתשמש כקו מנחה וכמורה דרך בעולמה של 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ושיקול אחרון זה יפה הוא במיוחד לפסיקתו של בית המשפט 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שהמחוקק הפקידו על קביעת מדיניות 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בנוסף לכל השיקולים האמורים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קיים ועומד השיקול החשוב והמהותי של תיקונו של הנאשם ושיקומו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ובהתקיים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במקרה מסוים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נסיבות מיוחדות ונכונות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ייתכן ששיקול אחרון זה יגבר על השיקולים האמורים האחרים ויקבע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באותו מקרה מסוים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 מידת העונש וצורתו</w:t>
      </w:r>
      <w:r>
        <w:rPr>
          <w:b/>
          <w:bCs/>
          <w:rtl w:val="true"/>
        </w:rPr>
        <w:t xml:space="preserve">.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ענישתנו היא ענישה אינדיווידואלית של כל עבריין 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באשר הוא שם</w:t>
      </w:r>
      <w:r>
        <w:rPr>
          <w:b/>
          <w:bCs/>
          <w:u w:val="single"/>
          <w:rtl w:val="true"/>
        </w:rPr>
        <w:t>'" (</w:t>
      </w:r>
      <w:hyperlink r:id="rId3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291/81</w:t>
        </w:r>
      </w:hyperlink>
      <w:r>
        <w:rPr>
          <w:b/>
          <w:bCs/>
          <w:u w:val="single"/>
          <w:rtl w:val="true"/>
        </w:rPr>
        <w:t xml:space="preserve"> [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], </w:t>
      </w:r>
      <w:r>
        <w:rPr>
          <w:b/>
          <w:b/>
          <w:bCs/>
          <w:u w:val="single"/>
          <w:rtl w:val="true"/>
        </w:rPr>
        <w:t>בעמ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442</w:t>
      </w:r>
      <w:r>
        <w:rPr>
          <w:b/>
          <w:bCs/>
          <w:u w:val="single"/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זאת תורת הגישה האינדיווידואלית בתורת הענישה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המקובלת עלינו כקו מנחה בסוגיה קשה וסבוכה זו של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 ומטרותיה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ואין אנו רשאים ל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הקל</w:t>
      </w:r>
      <w:r>
        <w:rPr>
          <w:b/>
          <w:bCs/>
          <w:u w:val="single"/>
          <w:rtl w:val="true"/>
        </w:rPr>
        <w:t xml:space="preserve">" </w:t>
      </w:r>
      <w:r>
        <w:rPr>
          <w:b/>
          <w:b/>
          <w:bCs/>
          <w:u w:val="single"/>
          <w:rtl w:val="true"/>
        </w:rPr>
        <w:t>על עצמנו ולהחמיר עם 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מתוך הסתמכות על הנימוק והחשש שמא הקלה במקרה מסוים הראוי לכך תשמש תקדים למקרים אחרים שאינם ראויים לכך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חזקה על בית המשפט שיידע להבחין בין מקרה למקרה לגופן של נסיבות ולעיצומם של דברים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(</w:t>
      </w:r>
      <w:r>
        <w:rPr>
          <w:rtl w:val="true"/>
        </w:rPr>
        <w:t>ההדגשה אינה במקור</w:t>
      </w:r>
      <w:r>
        <w:rPr>
          <w:rtl w:val="true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end="0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העבירות בהן הורשע הנאשם אינן נמנות עם המקרים החמורים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הואיל  ועבירת נשיאת הנשק המיוחסת לנאשם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האישום המתוקן היא לאותו פרק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זמן קצר המתואר בעובדות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ואין טענה לפיה החזיק הנאשם בנשק במועד 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יש לזכור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גם אליבא דב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האישום אף אינו מייחס לנאשם נשיאת נשק למטרה ספציפית או קונקרטית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בל נשכח</w:t>
      </w:r>
      <w:r>
        <w:rPr>
          <w:rtl w:val="true"/>
        </w:rPr>
        <w:t xml:space="preserve">, </w:t>
      </w:r>
      <w:r>
        <w:rPr>
          <w:rtl w:val="true"/>
        </w:rPr>
        <w:t>כי לצד עבירת הנשק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גם בעבירה של הפרעה לשוטר במילוי תפקידו </w:t>
      </w:r>
      <w:r>
        <w:rPr>
          <w:rtl w:val="true"/>
        </w:rPr>
        <w:t xml:space="preserve">, </w:t>
      </w:r>
      <w:r>
        <w:rPr>
          <w:rtl w:val="true"/>
        </w:rPr>
        <w:t>הואיל והנאשם עשה כל שלאל ידו על</w:t>
      </w:r>
      <w:r>
        <w:rPr>
          <w:rtl w:val="true"/>
        </w:rPr>
        <w:t>-</w:t>
      </w:r>
      <w:r>
        <w:rPr>
          <w:rtl w:val="true"/>
        </w:rPr>
        <w:t>מנת למלט את הנשק מן השוטרים</w:t>
      </w:r>
      <w:r>
        <w:rPr>
          <w:rtl w:val="true"/>
        </w:rPr>
        <w:t xml:space="preserve">, </w:t>
      </w:r>
      <w:r>
        <w:rPr>
          <w:rtl w:val="true"/>
        </w:rPr>
        <w:t>ולוודא שכלי</w:t>
      </w:r>
      <w:r>
        <w:rPr>
          <w:rtl w:val="true"/>
        </w:rPr>
        <w:t>-</w:t>
      </w:r>
      <w:r>
        <w:rPr>
          <w:rtl w:val="true"/>
        </w:rPr>
        <w:t xml:space="preserve">הנשק לא </w:t>
      </w:r>
      <w:r>
        <w:rPr>
          <w:rtl w:val="true"/>
        </w:rPr>
        <w:t>"</w:t>
      </w:r>
      <w:r>
        <w:rPr>
          <w:rtl w:val="true"/>
        </w:rPr>
        <w:t>ייפול</w:t>
      </w:r>
      <w:r>
        <w:rPr>
          <w:rtl w:val="true"/>
        </w:rPr>
        <w:t xml:space="preserve">" </w:t>
      </w:r>
      <w:r>
        <w:rPr>
          <w:rtl w:val="true"/>
        </w:rPr>
        <w:t>לידי רשויות אכיפת החוק</w:t>
      </w:r>
      <w:r>
        <w:rPr>
          <w:rtl w:val="true"/>
        </w:rPr>
        <w:t xml:space="preserve">, </w:t>
      </w:r>
      <w:r>
        <w:rPr>
          <w:rtl w:val="true"/>
        </w:rPr>
        <w:t>כמו גם הוא בעצמו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 בידי לקבל את 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לפיה הואיל ובענייננו מדובר בתת</w:t>
      </w:r>
      <w:r>
        <w:rPr>
          <w:rtl w:val="true"/>
        </w:rPr>
        <w:t>-</w:t>
      </w:r>
      <w:r>
        <w:rPr>
          <w:rtl w:val="true"/>
        </w:rPr>
        <w:t xml:space="preserve">מקלע מאולתר דמוי רובה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כפי שצוין בכתב</w:t>
      </w:r>
      <w:r>
        <w:rPr>
          <w:rtl w:val="true"/>
        </w:rPr>
        <w:t>-</w:t>
      </w:r>
      <w:r>
        <w:rPr>
          <w:rtl w:val="true"/>
        </w:rPr>
        <w:t>האישום המתוקן</w:t>
      </w:r>
      <w:r>
        <w:rPr>
          <w:rtl w:val="true"/>
        </w:rPr>
        <w:t xml:space="preserve">, </w:t>
      </w:r>
      <w:r>
        <w:rPr>
          <w:rtl w:val="true"/>
        </w:rPr>
        <w:t>ולא בנשק תקני</w:t>
      </w:r>
      <w:r>
        <w:rPr>
          <w:rtl w:val="true"/>
        </w:rPr>
        <w:t xml:space="preserve">, </w:t>
      </w:r>
      <w:r>
        <w:rPr>
          <w:rtl w:val="true"/>
        </w:rPr>
        <w:t>פוטנציאל הנזק נמוך יותר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מן העולה מסעיף 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tl w:val="true"/>
        </w:rPr>
        <w:t>-</w:t>
      </w:r>
      <w:r>
        <w:rPr>
          <w:rtl w:val="true"/>
        </w:rPr>
        <w:t>האישום המתוקן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אזכיר</w:t>
      </w:r>
      <w:r>
        <w:rPr>
          <w:rtl w:val="true"/>
        </w:rPr>
        <w:t xml:space="preserve">, </w:t>
      </w:r>
      <w:r>
        <w:rPr>
          <w:rtl w:val="true"/>
        </w:rPr>
        <w:t>הודה הנאשם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הנשק הוא כלי שסוגל לירות כדור או קליע שבכוחו להמית 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המחסנית והכדורים הם אביזר ותחמושת לנשק</w:t>
      </w:r>
      <w:r>
        <w:rPr>
          <w:rtl w:val="true"/>
        </w:rPr>
        <w:t xml:space="preserve">", </w:t>
      </w:r>
      <w:r>
        <w:rPr>
          <w:rtl w:val="true"/>
        </w:rPr>
        <w:t>ואידך זיל גמור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בהתחשב במכלול הנסיבות שמניתי לעיל הקשורות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חומרת העבירה</w:t>
      </w:r>
      <w:r>
        <w:rPr>
          <w:rtl w:val="true"/>
        </w:rPr>
        <w:t xml:space="preserve">, </w:t>
      </w:r>
      <w:r>
        <w:rPr>
          <w:rtl w:val="true"/>
        </w:rPr>
        <w:t>והערכים החברתיים שנפגעו כתוצאה מביצועה ולאחר שעמדתי על מדיניות הענישה הנהוגה בנסיבות דומות</w:t>
      </w:r>
      <w:r>
        <w:rPr>
          <w:rtl w:val="true"/>
        </w:rPr>
        <w:t xml:space="preserve">, </w:t>
      </w:r>
      <w:r>
        <w:rPr>
          <w:rtl w:val="true"/>
        </w:rPr>
        <w:t>אני קובע</w:t>
      </w:r>
      <w:r>
        <w:rPr>
          <w:rtl w:val="true"/>
        </w:rPr>
        <w:t xml:space="preserve">, </w:t>
      </w:r>
      <w:r>
        <w:rPr>
          <w:rtl w:val="true"/>
        </w:rPr>
        <w:t>כי מתחם הענישה הראוי</w:t>
      </w:r>
      <w:r>
        <w:rPr>
          <w:rtl w:val="true"/>
        </w:rPr>
        <w:t xml:space="preserve">, </w:t>
      </w: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הוא מאסר בפועל לתקופה שנעה בין </w:t>
      </w:r>
      <w:r>
        <w:rPr/>
        <w:t>10-36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זאת לצד עונשים 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בית המשפט רשאי לחרוג ממתחם העונש ההולם או לקולא</w:t>
      </w:r>
      <w:r>
        <w:rPr>
          <w:rtl w:val="true"/>
        </w:rPr>
        <w:t xml:space="preserve">, </w:t>
      </w:r>
      <w:r>
        <w:rPr>
          <w:rtl w:val="true"/>
        </w:rPr>
        <w:t>בשל שיקולי שיקום וטיפול של הנאשם</w:t>
      </w:r>
      <w:r>
        <w:rPr>
          <w:rtl w:val="true"/>
        </w:rPr>
        <w:t xml:space="preserve">, </w:t>
      </w:r>
      <w:r>
        <w:rPr>
          <w:rtl w:val="true"/>
        </w:rPr>
        <w:t>או לחומרא בשל הגנה על שלום 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התבקש תסקיר שירות המבחן</w:t>
      </w:r>
      <w:r>
        <w:rPr>
          <w:rtl w:val="true"/>
        </w:rPr>
        <w:t xml:space="preserve">, </w:t>
      </w:r>
      <w:r>
        <w:rPr>
          <w:rtl w:val="true"/>
        </w:rPr>
        <w:t>וממילא לא נערך תסקיר</w:t>
      </w:r>
      <w:r>
        <w:rPr>
          <w:rtl w:val="true"/>
        </w:rPr>
        <w:t xml:space="preserve">, </w:t>
      </w:r>
      <w:r>
        <w:rPr>
          <w:rtl w:val="true"/>
        </w:rPr>
        <w:t>ואף ב</w:t>
      </w:r>
      <w:r>
        <w:rPr>
          <w:rtl w:val="true"/>
        </w:rPr>
        <w:t>"</w:t>
      </w:r>
      <w:r>
        <w:rPr>
          <w:rtl w:val="true"/>
        </w:rPr>
        <w:t>כ הנאשם לא הצביע על שיקולי שיקום בעטיים יש לחרוג מן המתחם שנקבע</w:t>
      </w:r>
      <w:r>
        <w:rPr>
          <w:rtl w:val="true"/>
        </w:rPr>
        <w:t xml:space="preserve">. </w:t>
      </w:r>
      <w:r>
        <w:rPr>
          <w:rtl w:val="true"/>
        </w:rPr>
        <w:t>מנגד סבורני</w:t>
      </w:r>
      <w:r>
        <w:rPr>
          <w:rtl w:val="true"/>
        </w:rPr>
        <w:t xml:space="preserve">, </w:t>
      </w:r>
      <w:r>
        <w:rPr>
          <w:rtl w:val="true"/>
        </w:rPr>
        <w:t>כי בנסיבות העניין אף לא מתקיימים התנאים לסטייה לחומרא ממתחם העונש האמור</w:t>
      </w:r>
      <w:r>
        <w:rPr>
          <w:rtl w:val="true"/>
        </w:rPr>
        <w:t xml:space="preserve">, </w:t>
      </w:r>
      <w:r>
        <w:rPr>
          <w:rtl w:val="true"/>
        </w:rPr>
        <w:t>וכאלה אף לא נטענו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קובע אני</w:t>
      </w:r>
      <w:r>
        <w:rPr>
          <w:rtl w:val="true"/>
        </w:rPr>
        <w:t xml:space="preserve">, </w:t>
      </w:r>
      <w:r>
        <w:rPr>
          <w:rtl w:val="true"/>
        </w:rPr>
        <w:t>כי עונשו של הנאשם יקבע במתחם האמור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בגזירת העונש המתאים לנאשם יש להתחשב בנסיבות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ובענייננו יש להביא בחשבון כשיקול לקולא את הודאתו של הנאשם במיוחס לו בכתב</w:t>
      </w:r>
      <w:r>
        <w:rPr>
          <w:rtl w:val="true"/>
        </w:rPr>
        <w:t xml:space="preserve">-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בהזדמנות הראשונה</w:t>
      </w:r>
      <w:r>
        <w:rPr>
          <w:rtl w:val="true"/>
        </w:rPr>
        <w:t xml:space="preserve">, </w:t>
      </w:r>
      <w:r>
        <w:rPr>
          <w:rtl w:val="true"/>
        </w:rPr>
        <w:t>מבלי שיהא צורך בקיום הליך ראייתי ותוך חיסכון בזמן שיפוטי יקר</w:t>
      </w:r>
      <w:r>
        <w:rPr>
          <w:rtl w:val="true"/>
        </w:rPr>
        <w:t xml:space="preserve">, </w:t>
      </w:r>
      <w:r>
        <w:rPr>
          <w:rtl w:val="true"/>
        </w:rPr>
        <w:t xml:space="preserve">וכן את נסיבות חייו של הנאשם לרבות היותו בן למשפחה המונה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 ליתן את הדעת</w:t>
      </w:r>
      <w:r>
        <w:rPr>
          <w:rtl w:val="true"/>
        </w:rPr>
        <w:t xml:space="preserve">, </w:t>
      </w:r>
      <w:r>
        <w:rPr>
          <w:rtl w:val="true"/>
        </w:rPr>
        <w:t>לגילו הצעיר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שנקבע </w:t>
      </w:r>
      <w:hyperlink r:id="rId40">
        <w:r>
          <w:rPr>
            <w:rStyle w:val="Hyperlink"/>
            <w:rtl w:val="true"/>
          </w:rPr>
          <w:t xml:space="preserve">בסעיף 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p00"/>
        <w:spacing w:lineRule="auto" w:line="360" w:before="72" w:after="0"/>
        <w:ind w:start="144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בגזירת העונש המתאים לנאשם כאמור בסעיף </w:t>
      </w:r>
      <w:r>
        <w:rPr>
          <w:rStyle w:val="default"/>
          <w:rFonts w:cs="David" w:ascii="David" w:hAnsi="David"/>
          <w:b/>
          <w:bCs/>
          <w:sz w:val="24"/>
          <w:szCs w:val="24"/>
        </w:rPr>
        <w:t>40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רשאי בית המשפט להתחשב בהתקיימות נסיבות שאינן קשורות בביצוע העבירה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המפורטות להלן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ובמידה שבה התקיימו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ככל שסבר כי ראוי לתת להן משקל בנסיבות המקרה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ובלבד שהעונש לא יחרוג ממתחם העונש ההולם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p00"/>
        <w:spacing w:lineRule="auto" w:line="360" w:before="72" w:after="0"/>
        <w:ind w:firstLine="96" w:start="134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Style w:val="default"/>
          <w:rFonts w:cs="David" w:ascii="David" w:hAnsi="David"/>
          <w:b/>
          <w:bCs/>
          <w:sz w:val="24"/>
          <w:szCs w:val="24"/>
        </w:rPr>
        <w:t>1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) 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הפגיעה של העונש בנאשם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 w:cs="David"/>
          <w:b/>
          <w:b/>
          <w:bCs/>
          <w:sz w:val="24"/>
          <w:sz w:val="24"/>
          <w:szCs w:val="24"/>
          <w:rtl w:val="true"/>
        </w:rPr>
        <w:t>לרבות בשל גילו</w:t>
      </w:r>
      <w:r>
        <w:rPr>
          <w:rStyle w:val="default"/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וכן אפנה לדבריו של 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 בעניין פלוני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spacing w:val="10"/>
          <w:rtl w:val="true"/>
        </w:rPr>
        <w:t>לאור כל האמור לעיל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לגישתי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יש מקום להתחשב במסגרת שיקולי הענישה בייחודיותה של קבוצת ה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בגירים צעירים</w:t>
      </w:r>
      <w:r>
        <w:rPr>
          <w:b/>
          <w:bCs/>
          <w:spacing w:val="10"/>
          <w:rtl w:val="true"/>
        </w:rPr>
        <w:t xml:space="preserve">". </w:t>
      </w:r>
      <w:r>
        <w:rPr>
          <w:b/>
          <w:b/>
          <w:bCs/>
          <w:spacing w:val="10"/>
          <w:rtl w:val="true"/>
        </w:rPr>
        <w:t>חשוב להבהיר כי אין בקביעתנו זו כדי לקבוע כי בגזירת עונשם של קבוצה זו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יש לשקול שיקולים זהים לאלו של קטינים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יחד עם זאת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 xml:space="preserve">על בית המשפט בקובעו את עונשו של 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בגיר צעיר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לייחס לגילו משקל משמעותי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במסגרת זאת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 xml:space="preserve">עליו לשקול בין היתר את קרבתו לגיל </w:t>
      </w:r>
      <w:r>
        <w:rPr>
          <w:b/>
          <w:bCs/>
          <w:spacing w:val="10"/>
        </w:rPr>
        <w:t>18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ההשפעה האפשרית של מאסר בפועל על שיקומו ומצבו הנפשי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ובגרותו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הכול כעולה מתסקיר המבחן שיוגש בפניו בטרם גזירת העונש</w:t>
      </w:r>
      <w:r>
        <w:rPr>
          <w:b/>
          <w:bCs/>
          <w:spacing w:val="10"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ובנוסף אציין</w:t>
      </w:r>
      <w:r>
        <w:rPr>
          <w:rtl w:val="true"/>
        </w:rPr>
        <w:t xml:space="preserve">, </w:t>
      </w:r>
      <w:r>
        <w:rPr>
          <w:rtl w:val="true"/>
        </w:rPr>
        <w:t>כי בהתאם לגיליון המרשם הפלילי</w:t>
      </w:r>
      <w:r>
        <w:rPr>
          <w:rtl w:val="true"/>
        </w:rPr>
        <w:t xml:space="preserve">, </w:t>
      </w:r>
      <w:r>
        <w:rPr>
          <w:rtl w:val="true"/>
        </w:rPr>
        <w:t>לנאשם קיימת הרשעה אחת בגין עבירת חבלה חמורה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42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  <w:rFonts w:cs="David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וחבלה כשעבריין מזויין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44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  <w:rFonts w:cs="David"/>
          </w:rPr>
          <w:t>335</w:t>
        </w:r>
        <w:r>
          <w:rPr>
            <w:rStyle w:val="Hyperlink"/>
            <w:rFonts w:cs="David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בגינן נגזרו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מדובר במאסרו הראשון של הנאשם מאחורי סורג ובריח</w:t>
      </w:r>
      <w:r>
        <w:rPr>
          <w:rtl w:val="true"/>
        </w:rPr>
        <w:t xml:space="preserve">, </w:t>
      </w:r>
      <w:r>
        <w:rPr>
          <w:rtl w:val="true"/>
        </w:rPr>
        <w:t>וברי</w:t>
      </w:r>
      <w:r>
        <w:rPr>
          <w:rtl w:val="true"/>
        </w:rPr>
        <w:t xml:space="preserve">, </w:t>
      </w:r>
      <w:r>
        <w:rPr>
          <w:rtl w:val="true"/>
        </w:rPr>
        <w:t>כי גם לכך</w:t>
      </w:r>
      <w:r>
        <w:rPr>
          <w:rtl w:val="true"/>
        </w:rPr>
        <w:t xml:space="preserve">, </w:t>
      </w:r>
      <w:r>
        <w:rPr>
          <w:rtl w:val="true"/>
        </w:rPr>
        <w:t>יש ליתן משקל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 שוב לעניין פלוני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b/>
          <w:bCs/>
          <w:i/>
          <w:i/>
          <w:iCs/>
          <w:spacing w:val="10"/>
        </w:rPr>
      </w:pPr>
      <w:r>
        <w:rPr>
          <w:rFonts w:cs="FrankRuehl" w:ascii="Arial TUR;Arial" w:hAnsi="Arial TUR;Arial"/>
          <w:spacing w:val="10"/>
          <w:szCs w:val="28"/>
          <w:rtl w:val="true"/>
        </w:rPr>
        <w:t>"</w:t>
      </w:r>
      <w:r>
        <w:rPr>
          <w:b/>
          <w:b/>
          <w:bCs/>
          <w:spacing w:val="10"/>
          <w:rtl w:val="true"/>
        </w:rPr>
        <w:t>יתר על כך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מחקרים רבים הראו כי קיים קשר סיבתי שלילי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 פיו מאסר ראשון לא רק שאינו מביא להתרעת היחיד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 xml:space="preserve">אלא מביא בסבירות גבוהה למאסרים נוספים ורצידיביזם </w:t>
      </w:r>
      <w:r>
        <w:rPr>
          <w:b/>
          <w:bCs/>
          <w:spacing w:val="10"/>
          <w:rtl w:val="true"/>
        </w:rPr>
        <w:t>(</w:t>
      </w:r>
      <w:r>
        <w:rPr>
          <w:b/>
          <w:b/>
          <w:bCs/>
          <w:spacing w:val="10"/>
          <w:rtl w:val="true"/>
        </w:rPr>
        <w:t>ראו</w:t>
      </w:r>
      <w:r>
        <w:rPr>
          <w:b/>
          <w:bCs/>
          <w:spacing w:val="10"/>
          <w:rtl w:val="true"/>
        </w:rPr>
        <w:t xml:space="preserve">: </w:t>
      </w:r>
      <w:r>
        <w:rPr>
          <w:b/>
          <w:b/>
          <w:bCs/>
          <w:spacing w:val="10"/>
          <w:rtl w:val="true"/>
        </w:rPr>
        <w:t xml:space="preserve">חגית לרנאו וישי שרון 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שמונה הכרעות ערכיות בחקיקת חוק הבניית שיקול הדעת השיפוטי בענישה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rtl w:val="true"/>
        </w:rPr>
        <w:t>הסניגור</w:t>
      </w:r>
      <w:r>
        <w:rPr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</w:rPr>
        <w:t>183</w:t>
      </w:r>
      <w:r>
        <w:rPr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</w:rPr>
        <w:t>14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Cs/>
          <w:spacing w:val="10"/>
        </w:rPr>
        <w:t>19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Cs/>
          <w:spacing w:val="10"/>
        </w:rPr>
        <w:t xml:space="preserve">Francis T. Cullen at el, </w:t>
      </w:r>
      <w:r>
        <w:rPr>
          <w:b/>
          <w:bCs/>
          <w:i/>
          <w:iCs/>
          <w:spacing w:val="10"/>
        </w:rPr>
        <w:t>Prisons do not Reduce Recidivism: The High Cost of Ignoring Science</w:t>
      </w:r>
      <w:r>
        <w:rPr>
          <w:b/>
          <w:bCs/>
          <w:spacing w:val="10"/>
        </w:rPr>
        <w:t xml:space="preserve">, 91 The </w:t>
      </w:r>
      <w:r>
        <w:rPr>
          <w:b/>
          <w:bCs/>
          <w:smallCaps/>
          <w:spacing w:val="10"/>
        </w:rPr>
        <w:t>Prison Journal</w:t>
      </w:r>
      <w:r>
        <w:rPr>
          <w:b/>
          <w:bCs/>
          <w:spacing w:val="10"/>
        </w:rPr>
        <w:t xml:space="preserve"> 48 (2011)</w:t>
      </w:r>
      <w:r>
        <w:rPr>
          <w:b/>
          <w:bCs/>
          <w:spacing w:val="10"/>
          <w:rtl w:val="true"/>
        </w:rPr>
        <w:t xml:space="preserve">)". </w:t>
      </w:r>
    </w:p>
    <w:p>
      <w:pPr>
        <w:pStyle w:val="Normal"/>
        <w:spacing w:lineRule="auto" w:line="360"/>
        <w:ind w:start="720" w:end="0"/>
        <w:jc w:val="both"/>
        <w:rPr>
          <w:b/>
          <w:bCs/>
          <w:i/>
          <w:i/>
          <w:iCs/>
          <w:spacing w:val="10"/>
        </w:rPr>
      </w:pPr>
      <w:r>
        <w:rPr>
          <w:b/>
          <w:bCs/>
          <w:i/>
          <w:iCs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מנגד יש להתחשב כשיקול לחומרא בעקרון ההרתעה בעבירות נשק</w:t>
      </w:r>
      <w:r>
        <w:rPr>
          <w:rtl w:val="true"/>
        </w:rPr>
        <w:t xml:space="preserve">, </w:t>
      </w:r>
      <w:r>
        <w:rPr>
          <w:rtl w:val="true"/>
        </w:rPr>
        <w:t>ובצורך ההולך וגובר למגרן</w:t>
      </w:r>
      <w:r>
        <w:rPr>
          <w:rtl w:val="true"/>
        </w:rPr>
        <w:t xml:space="preserve">, </w:t>
      </w:r>
      <w:r>
        <w:rPr>
          <w:rtl w:val="true"/>
        </w:rPr>
        <w:t>שעה שמעשים אלו הופכים 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tl w:val="true"/>
        </w:rPr>
        <w:t>-</w:t>
      </w:r>
      <w:r>
        <w:rPr>
          <w:rtl w:val="true"/>
        </w:rPr>
        <w:t>מדינה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גדיעת תופעה זו</w:t>
      </w:r>
      <w:r>
        <w:rPr>
          <w:rtl w:val="true"/>
        </w:rPr>
        <w:t xml:space="preserve">, </w:t>
      </w:r>
      <w:r>
        <w:rPr>
          <w:rtl w:val="true"/>
        </w:rPr>
        <w:t>בעודה באיבה</w:t>
      </w:r>
      <w:r>
        <w:rPr>
          <w:rtl w:val="true"/>
        </w:rPr>
        <w:t xml:space="preserve">, </w:t>
      </w:r>
      <w:r>
        <w:rPr>
          <w:rtl w:val="true"/>
        </w:rPr>
        <w:t>עשויה להיות הפסע הראשון במסע הארוך להחזרת ביטחון הציבור ושלומו במרחב הציבורי והפרט גם יחד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pacing w:val="10"/>
        </w:rPr>
      </w:pPr>
      <w:r>
        <w:rPr>
          <w:spacing w:val="10"/>
        </w:rPr>
        <w:t>14</w:t>
      </w:r>
      <w:r>
        <w:rPr>
          <w:spacing w:val="10"/>
          <w:rtl w:val="true"/>
        </w:rPr>
        <w:t>.</w:t>
        <w:tab/>
      </w:r>
      <w:r>
        <w:rPr>
          <w:rtl w:val="true"/>
        </w:rPr>
        <w:t>בשקלול הנסיבות והנתונים השונים אני קובע</w:t>
      </w:r>
      <w:r>
        <w:rPr>
          <w:rtl w:val="true"/>
        </w:rPr>
        <w:t xml:space="preserve">, </w:t>
      </w:r>
      <w:r>
        <w:rPr>
          <w:rtl w:val="true"/>
        </w:rPr>
        <w:t xml:space="preserve">כי העונש הראוי בנסיבות הוא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המעצר בהם נשא הנאשם עד כה מכוח המעצר עד תום ההליכים אשר הושת עליו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8/6/2020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pacing w:val="10"/>
          <w:sz w:val="22"/>
        </w:rPr>
      </w:pPr>
      <w:r>
        <w:rPr>
          <w:spacing w:val="10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אשר על כן אני גוזר על הנאשם</w:t>
      </w:r>
      <w:r>
        <w:rPr>
          <w:rtl w:val="true"/>
        </w:rPr>
        <w:t>:</w:t>
      </w:r>
    </w:p>
    <w:p>
      <w:pPr>
        <w:pStyle w:val="ListParagraph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למשך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ימי מעצרו החל מיום </w:t>
      </w:r>
      <w:r>
        <w:rPr>
          <w:rFonts w:cs="David" w:ascii="David" w:hAnsi="David"/>
          <w:sz w:val="24"/>
          <w:szCs w:val="24"/>
        </w:rPr>
        <w:t>8/6/2020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לתקופה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שיופעל במידה והנאשם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>עבירת נשק או עבירה של הפרעה לגורמי אכיפת החוק</w:t>
      </w:r>
      <w:r>
        <w:rPr>
          <w:rtl w:val="true"/>
        </w:rPr>
        <w:t xml:space="preserve">, </w:t>
      </w:r>
      <w:r>
        <w:rPr>
          <w:rtl w:val="true"/>
        </w:rPr>
        <w:t>לרבות 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end="426"/>
        <w:jc w:val="both"/>
        <w:rPr/>
      </w:pPr>
      <w:r>
        <w:rPr>
          <w:b/>
          <w:b/>
          <w:bCs/>
          <w:u w:val="single"/>
          <w:rtl w:val="true"/>
        </w:rPr>
        <w:t>המזכירות תשלח עותק מגזר הדין לשב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ס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end="426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end="426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טבת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29/12/2020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  <w:lang w:val="en-IL" w:eastAsia="en-IL"/>
              </w:rPr>
              <w:drawing>
                <wp:inline distT="0" distB="0" distL="0" distR="0">
                  <wp:extent cx="1447800" cy="1085850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25" t="-33" r="-25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85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סארי 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יוסי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שמעתי כעת את הסברי בית המשפט והדברים הובהרו גם לנאשם לגבי העונש שנגזר ובעיקר הבהרות לעניין העונש של מאסר על תנאי ואימתי יופעל ובגין איזה עבירות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אבקש שבית המשפט יורה על חילוט 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לנו התנגדות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מורה על חילוט  הנשק שנתפס – דמוי רובה סער </w:t>
      </w:r>
      <w:r>
        <w:rPr/>
        <w:t>M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וכן הכדורים והמחסניות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#12#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4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טבת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29/12/2020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4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סארי 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יוסי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מיכל</w:t>
      </w:r>
      <w:r>
        <w:rPr>
          <w:rtl w:val="true"/>
        </w:rPr>
        <w:t xml:space="preserve"> </w:t>
      </w:r>
      <w:r>
        <w:rPr>
          <w:rtl w:val="true"/>
        </w:rPr>
        <w:t>ניזרי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סארי 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יוסי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46108-06-20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תאאר הרשה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6108-06-20"/>
    <w:docVar w:name="caseId" w:val="77494780"/>
    <w:docVar w:name="deriveClass" w:val="NGCS.Protocol.BL.Client.ProtocolBLClientCriminal"/>
    <w:docVar w:name="firstPageNumber" w:val="9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1123337"/>
    <w:docVar w:name="releaseSign" w:val="0"/>
    <w:docVar w:name="sittingDateTime" w:val="29/12/2020 12:30     "/>
    <w:docVar w:name="sittingId" w:val="89930275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5">
    <w:name w:val="Ruller5 תו"/>
    <w:qFormat/>
    <w:rPr>
      <w:rFonts w:ascii="Arial TUR;Arial" w:hAnsi="Arial TUR;Arial" w:cs="Arial TUR;Arial"/>
      <w:spacing w:val="10"/>
      <w:sz w:val="28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default">
    <w:name w:val="default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David" w:cs="Times New Roman"/>
      <w:spacing w:val="10"/>
      <w:sz w:val="20"/>
      <w:szCs w:val="28"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cs="Times New Roman"/>
      <w:spacing w:val="10"/>
      <w:sz w:val="20"/>
      <w:szCs w:val="28"/>
    </w:rPr>
  </w:style>
  <w:style w:type="paragraph" w:styleId="Ruller42">
    <w:name w:val="Ruller 4 ממוספר"/>
    <w:basedOn w:val="Normal"/>
    <w:qFormat/>
    <w:pPr>
      <w:overflowPunct w:val="false"/>
      <w:autoSpaceDE w:val="false"/>
      <w:spacing w:lineRule="auto" w:line="360"/>
      <w:ind w:hanging="0" w:start="0" w:end="0"/>
      <w:jc w:val="both"/>
    </w:pPr>
    <w:rPr>
      <w:rFonts w:ascii="Garamond" w:hAnsi="Garamond" w:eastAsia="David" w:cs="Times New Roman"/>
      <w:spacing w:val="10"/>
    </w:rPr>
  </w:style>
  <w:style w:type="paragraph" w:styleId="p00">
    <w:name w:val="p00"/>
    <w:basedOn w:val="Normal"/>
    <w:qFormat/>
    <w:pPr>
      <w:autoSpaceDE w:val="false"/>
      <w:spacing w:before="60" w:after="0"/>
      <w:ind w:hanging="0" w:start="2835" w:end="0"/>
      <w:jc w:val="both"/>
    </w:pPr>
    <w:rPr>
      <w:rFonts w:ascii="Times New Roman" w:hAnsi="Times New Roman" w:eastAsia="David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63289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40ja.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case/5957403" TargetMode="External"/><Relationship Id="rId13" Type="http://schemas.openxmlformats.org/officeDocument/2006/relationships/hyperlink" Target="http://www.nevo.co.il/case/21474168" TargetMode="External"/><Relationship Id="rId14" Type="http://schemas.openxmlformats.org/officeDocument/2006/relationships/hyperlink" Target="http://www.nevo.co.il/case/22006503" TargetMode="External"/><Relationship Id="rId15" Type="http://schemas.openxmlformats.org/officeDocument/2006/relationships/hyperlink" Target="http://www.nevo.co.il/case/25612982" TargetMode="External"/><Relationship Id="rId16" Type="http://schemas.openxmlformats.org/officeDocument/2006/relationships/hyperlink" Target="http://www.nevo.co.il/case/6248029" TargetMode="External"/><Relationship Id="rId17" Type="http://schemas.openxmlformats.org/officeDocument/2006/relationships/hyperlink" Target="http://www.nevo.co.il/case/22746666" TargetMode="External"/><Relationship Id="rId18" Type="http://schemas.openxmlformats.org/officeDocument/2006/relationships/hyperlink" Target="http://www.nevo.co.il/case/24215692" TargetMode="External"/><Relationship Id="rId19" Type="http://schemas.openxmlformats.org/officeDocument/2006/relationships/hyperlink" Target="http://www.nevo.co.il/case/22791136" TargetMode="External"/><Relationship Id="rId20" Type="http://schemas.openxmlformats.org/officeDocument/2006/relationships/hyperlink" Target="http://www.nevo.co.il/case/25892549" TargetMode="External"/><Relationship Id="rId21" Type="http://schemas.openxmlformats.org/officeDocument/2006/relationships/hyperlink" Target="http://www.nevo.co.il/case/26343396" TargetMode="External"/><Relationship Id="rId22" Type="http://schemas.openxmlformats.org/officeDocument/2006/relationships/hyperlink" Target="http://www.nevo.co.il/case/25800939" TargetMode="External"/><Relationship Id="rId23" Type="http://schemas.openxmlformats.org/officeDocument/2006/relationships/hyperlink" Target="http://www.nevo.co.il/case/26236201" TargetMode="External"/><Relationship Id="rId24" Type="http://schemas.openxmlformats.org/officeDocument/2006/relationships/hyperlink" Target="http://www.nevo.co.il/case/25888903" TargetMode="External"/><Relationship Id="rId25" Type="http://schemas.openxmlformats.org/officeDocument/2006/relationships/hyperlink" Target="http://www.nevo.co.il/case/26312850" TargetMode="External"/><Relationship Id="rId26" Type="http://schemas.openxmlformats.org/officeDocument/2006/relationships/hyperlink" Target="http://www.nevo.co.il/case/22832395" TargetMode="External"/><Relationship Id="rId27" Type="http://schemas.openxmlformats.org/officeDocument/2006/relationships/hyperlink" Target="http://www.nevo.co.il/case/24151283" TargetMode="External"/><Relationship Id="rId28" Type="http://schemas.openxmlformats.org/officeDocument/2006/relationships/hyperlink" Target="http://www.nevo.co.il/case/24893269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5995135" TargetMode="External"/><Relationship Id="rId31" Type="http://schemas.openxmlformats.org/officeDocument/2006/relationships/hyperlink" Target="http://www.nevo.co.il/case/5950172" TargetMode="External"/><Relationship Id="rId32" Type="http://schemas.openxmlformats.org/officeDocument/2006/relationships/hyperlink" Target="http://www.nevo.co.il/case/5568354" TargetMode="External"/><Relationship Id="rId33" Type="http://schemas.openxmlformats.org/officeDocument/2006/relationships/hyperlink" Target="http://www.nevo.co.il/case/27171364" TargetMode="External"/><Relationship Id="rId34" Type="http://schemas.openxmlformats.org/officeDocument/2006/relationships/hyperlink" Target="http://www.nevo.co.il/case/26538254" TargetMode="External"/><Relationship Id="rId35" Type="http://schemas.openxmlformats.org/officeDocument/2006/relationships/hyperlink" Target="http://www.nevo.co.il/case/7791493" TargetMode="External"/><Relationship Id="rId36" Type="http://schemas.openxmlformats.org/officeDocument/2006/relationships/hyperlink" Target="http://www.nevo.co.il/case/5821327" TargetMode="External"/><Relationship Id="rId37" Type="http://schemas.openxmlformats.org/officeDocument/2006/relationships/hyperlink" Target="http://www.nevo.co.il/case/23750625" TargetMode="External"/><Relationship Id="rId38" Type="http://schemas.openxmlformats.org/officeDocument/2006/relationships/hyperlink" Target="http://www.nevo.co.il/case/17941073" TargetMode="External"/><Relationship Id="rId39" Type="http://schemas.openxmlformats.org/officeDocument/2006/relationships/hyperlink" Target="http://www.nevo.co.il/case/17938943" TargetMode="External"/><Relationship Id="rId40" Type="http://schemas.openxmlformats.org/officeDocument/2006/relationships/hyperlink" Target="http://www.nevo.co.il/law/70301/40ja.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33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35.a.1" TargetMode="External"/><Relationship Id="rId45" Type="http://schemas.openxmlformats.org/officeDocument/2006/relationships/image" Target="media/image1.png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2021-10-11T08:44:00Z</dcterms:created>
  <dc:creator> </dc:creator>
  <dc:description/>
  <cp:keywords/>
  <dc:language>en-IL</dc:language>
  <cp:lastModifiedBy>h1</cp:lastModifiedBy>
  <cp:lastPrinted>2020-12-29T12:49:00Z</cp:lastPrinted>
  <dcterms:modified xsi:type="dcterms:W3CDTF">2021-10-11T08:44:00Z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תאאר הרשה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26632890;5957403;21474168;22006503;25612982;6248029;22746666;24215692;22791136;25892549;26343396;25800939;26236201;25888903;26312850;22832395;24151283;24893269;25824863;5995135;5950172;5568354;27171364;26538254;7791493;5821327;23750625;17941073;17938943</vt:lpwstr>
  </property>
  <property fmtid="{D5CDD505-2E9C-101B-9397-08002B2CF9AE}" pid="9" name="CITY">
    <vt:lpwstr>חי'</vt:lpwstr>
  </property>
  <property fmtid="{D5CDD505-2E9C-101B-9397-08002B2CF9AE}" pid="10" name="DATE">
    <vt:lpwstr>20201229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סארי ג'יוסי</vt:lpwstr>
  </property>
  <property fmtid="{D5CDD505-2E9C-101B-9397-08002B2CF9AE}" pid="14" name="LAWLISTTMP1">
    <vt:lpwstr>70301/144.b;275;40ja.1;333;335.a.1</vt:lpwstr>
  </property>
  <property fmtid="{D5CDD505-2E9C-101B-9397-08002B2CF9AE}" pid="15" name="LAWYER">
    <vt:lpwstr>מטאנס מירה;עלי סעדי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46108</vt:lpwstr>
  </property>
  <property fmtid="{D5CDD505-2E9C-101B-9397-08002B2CF9AE}" pid="22" name="NEWPARTB">
    <vt:lpwstr>06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390020201229</vt:lpwstr>
  </property>
  <property fmtid="{D5CDD505-2E9C-101B-9397-08002B2CF9AE}" pid="34" name="TYPE_N_DATE">
    <vt:lpwstr>39020201229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