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4612-07-22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שמאמי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30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ביולי </w:t>
            </w:r>
            <w:r>
              <w:rPr>
                <w:rFonts w:cs="David" w:ascii="David" w:hAnsi="David"/>
                <w:b/>
                <w:bCs/>
              </w:rPr>
              <w:t>2023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95"/>
        <w:gridCol w:w="4290"/>
        <w:gridCol w:w="3335"/>
      </w:tblGrid>
      <w:tr>
        <w:trPr>
          <w:trHeight w:val="29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בני שגיא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4290" w:type="dxa"/>
            <w:tcBorders/>
          </w:tcPr>
          <w:p>
            <w:pPr>
              <w:pStyle w:val="Normal"/>
              <w:spacing w:lineRule="auto" w:line="360"/>
              <w:ind w:start="720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start="72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ליהי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מלצמן</w:t>
            </w:r>
          </w:p>
          <w:p>
            <w:pPr>
              <w:pStyle w:val="Normal"/>
              <w:spacing w:lineRule="auto" w:line="360"/>
              <w:ind w:start="72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3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62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9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4290" w:type="dxa"/>
            <w:tcBorders/>
          </w:tcPr>
          <w:p>
            <w:pPr>
              <w:pStyle w:val="Normal"/>
              <w:spacing w:lineRule="auto" w:line="360"/>
              <w:ind w:start="720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הרצל שמאמי</w:t>
            </w:r>
          </w:p>
          <w:p>
            <w:pPr>
              <w:pStyle w:val="Normal"/>
              <w:spacing w:lineRule="auto" w:line="360"/>
              <w:ind w:start="720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לוי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33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2001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 w:before="240" w:after="240"/>
        <w:ind w:start="357" w:end="0"/>
        <w:jc w:val="start"/>
        <w:rPr>
          <w:u w:val="single"/>
        </w:rPr>
      </w:pPr>
      <w:bookmarkStart w:id="8" w:name="PsakDin"/>
      <w:bookmarkEnd w:id="8"/>
      <w:r>
        <w:rPr>
          <w:u w:val="single"/>
          <w:rtl w:val="true"/>
        </w:rPr>
        <w:t>כללי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57" w:end="0"/>
        <w:contextualSpacing w:val="false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57" w:end="0"/>
        <w:contextualSpacing w:val="false"/>
        <w:jc w:val="both"/>
        <w:rPr/>
      </w:pPr>
      <w:bookmarkStart w:id="10" w:name="ABSTRACT_END"/>
      <w:bookmarkEnd w:id="10"/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57" w:end="0"/>
        <w:contextualSpacing w:val="false"/>
        <w:jc w:val="both"/>
        <w:rPr>
          <w:rFonts w:ascii="David" w:hAnsi="David" w:cs="David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במשך תקופה שאינה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 שלא כדין בביתו בחדרה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בסמוך לבית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בנשק שסוגל לירות ובכוחו להמית אדם מסוג אקדח חצי אוטומטי </w:t>
      </w:r>
      <w:r>
        <w:rPr>
          <w:rFonts w:cs="David" w:ascii="David" w:hAnsi="David"/>
        </w:rPr>
        <w:t>STAR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בעל קליבר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LR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במחסנית המתאימה לאקדח ובה לפחות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שבכוחם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בקופסת מתכת ובה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קליבר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LR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שבכוחם להמית אדם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האקדח והתחמושת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18.6.22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7:30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בבוקר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מצוי בביתו שבפתח תקווה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ניסה ס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מ ללא הצלחה ליצור קשר טלפוני עם הנאשם על מנת שיספק לו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 ס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 xml:space="preserve">מ לנאשם שתי הודעות לטלפון הנייד של הנאשם שתוכנן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חורחה אתה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7:45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 ס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מ לנאשם והשניים שוחחו וקבעו להיפגש בסמיכות לביתו של הנאשם בחדרה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8:30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בהגיעו לאזור הסמוך לבית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 ס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מ אל הנאשם והמתין לו ברכב בהמשך הרחוב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יצא מביתו והשניים נפגשו ושוחחו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מבוקשו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ומסרם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9:36</w:t>
      </w:r>
      <w:r>
        <w:rPr>
          <w:rtl w:val="true"/>
        </w:rPr>
        <w:t xml:space="preserve">, </w:t>
      </w:r>
      <w:r>
        <w:rPr>
          <w:rtl w:val="true"/>
        </w:rPr>
        <w:t>נפרדו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10:15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57" w:end="0"/>
        <w:contextualSpacing w:val="false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71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לנכדים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קליני</w:t>
      </w:r>
      <w:r>
        <w:rPr>
          <w:rtl w:val="true"/>
        </w:rPr>
        <w:t xml:space="preserve">, </w:t>
      </w:r>
      <w:r>
        <w:rPr>
          <w:rtl w:val="true"/>
        </w:rPr>
        <w:t>ותואר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ודיכאון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ישנים</w:t>
      </w:r>
      <w:r>
        <w:rPr>
          <w:rtl w:val="true"/>
        </w:rPr>
        <w:t xml:space="preserve">,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שצבר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tl w:val="true"/>
        </w:rPr>
        <w:t xml:space="preserve">.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מגיליון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 "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התהליך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גרוע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פסיכיאטריים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>יבד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לעזור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הילדים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והנכדים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הטבור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ובשבילנו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חיפשה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tl w:val="true"/>
        </w:rPr>
        <w:t xml:space="preserve">,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ההצהרה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"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לעקוף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פנייה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" </w:t>
      </w:r>
      <w:r>
        <w:rPr>
          <w:rtl w:val="true"/>
        </w:rPr>
        <w:t>כך</w:t>
      </w:r>
      <w:r>
        <w:rPr>
          <w:rtl w:val="true"/>
        </w:rPr>
        <w:t>: "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במישרין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הנידון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וכשעתיים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הנתק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המגולם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המגולם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באלמנתו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לעקוב</w:t>
      </w:r>
      <w:r>
        <w:rPr>
          <w:rtl w:val="true"/>
        </w:rPr>
        <w:t xml:space="preserve">"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</w:p>
    <w:p>
      <w:pPr>
        <w:pStyle w:val="Normal"/>
        <w:spacing w:lineRule="auto" w:line="360" w:before="240" w:after="240"/>
        <w:ind w:start="360" w:end="0"/>
        <w:jc w:val="both"/>
        <w:rPr>
          <w:u w:val="single"/>
        </w:rPr>
      </w:pP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מלצמן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>: "</w:t>
      </w:r>
      <w:r>
        <w:rPr>
          <w:b/>
          <w:b/>
          <w:bCs/>
          <w:rtl w:val="true"/>
        </w:rPr>
        <w:t>בשונה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חיפוש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מודיעיני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טוענים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שהגדירן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tl w:val="true"/>
        </w:rPr>
        <w:t xml:space="preserve">.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אספנות</w:t>
      </w:r>
      <w:r>
        <w:rPr>
          <w:rtl w:val="true"/>
        </w:rPr>
        <w:t xml:space="preserve">"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שהתיישן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ובסמיכות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מטרידה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לטראגיות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אנחנו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מחלוקת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המחמירה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שקרה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>).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 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בוכה</w:t>
      </w:r>
      <w:r>
        <w:rPr>
          <w:b/>
          <w:bCs/>
          <w:rtl w:val="true"/>
        </w:rPr>
        <w:t xml:space="preserve">...)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וכואב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כואב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מושפל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מתבייש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מתבייש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כלום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>).</w:t>
      </w:r>
    </w:p>
    <w:p>
      <w:pPr>
        <w:pStyle w:val="Normal"/>
        <w:spacing w:lineRule="auto" w:line="360" w:before="240" w:after="240"/>
        <w:ind w:start="360" w:end="0"/>
        <w:jc w:val="both"/>
        <w:rPr>
          <w:u w:val="single"/>
        </w:rPr>
      </w:pP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בית המשפט העליון עמד בשורה ארוכה של פסקי דין על מגוון הערכים המוגנים הנפגעים כתוצאה מעבירות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שהמרכזי בהם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הצורך בשמירה על שלום הציבור ובטחונו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עמד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וביתר שאת בתקופה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הצורך </w:t>
      </w:r>
      <w:r>
        <w:rPr>
          <w:rFonts w:ascii="Arial" w:hAnsi="Arial" w:cs="Arial"/>
          <w:rtl w:val="true"/>
        </w:rPr>
        <w:t>בהעלאת רף הענישה בעבירות מסוג זה נוכח פגיעתן הקשה בציבור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4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וכך 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עבירות הנשק הפכו זה מכבר למכת מדינה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חומרתן היתרה של עבירות אלה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פגיעתן הקשה והשפעתן על תחושת הביטחון של כלל אזרחי המדינה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זכו להתייחסות נרחבת בפסקי דין רבים של בית משפט זה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צוין כי עבירות אלה מייצרות במהותן איומים וסיכונים משמעותיים לשלום הציבור וביטחונו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ראו</w:t>
      </w:r>
      <w:r>
        <w:rPr>
          <w:rFonts w:cs="Arial" w:ascii="Arial" w:hAnsi="Arial"/>
          <w:b/>
          <w:bCs/>
          <w:rtl w:val="true"/>
        </w:rPr>
        <w:t xml:space="preserve">: </w:t>
      </w:r>
      <w:hyperlink r:id="rId2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1695/22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גנאים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פסקה </w:t>
      </w: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cs="Arial" w:ascii="Arial" w:hAnsi="Arial"/>
          <w:b/>
          <w:bCs/>
        </w:rPr>
        <w:t>29.3.2022</w:t>
      </w:r>
      <w:r>
        <w:rPr>
          <w:rFonts w:cs="Arial" w:ascii="Arial" w:hAnsi="Arial"/>
          <w:b/>
          <w:bCs/>
          <w:rtl w:val="true"/>
        </w:rPr>
        <w:t xml:space="preserve">)), </w:t>
      </w:r>
      <w:r>
        <w:rPr>
          <w:rFonts w:ascii="Arial" w:hAnsi="Arial" w:cs="Arial"/>
          <w:b/>
          <w:b/>
          <w:bCs/>
          <w:rtl w:val="true"/>
        </w:rPr>
        <w:t>והן מהוות בסיס לביצוע פעילות עבריינית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פשיעה לאומנית ופעולות טרור מסכנות חיים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ראו</w:t>
      </w:r>
      <w:r>
        <w:rPr>
          <w:rFonts w:cs="Arial" w:ascii="Arial" w:hAnsi="Arial"/>
          <w:b/>
          <w:bCs/>
          <w:rtl w:val="true"/>
        </w:rPr>
        <w:t xml:space="preserve">: </w:t>
      </w:r>
      <w:hyperlink r:id="rId2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309/22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ביאדסה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פסקה 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cs="Arial" w:ascii="Arial" w:hAnsi="Arial"/>
          <w:b/>
          <w:bCs/>
        </w:rPr>
        <w:t>10.5.2022</w:t>
      </w:r>
      <w:r>
        <w:rPr>
          <w:rFonts w:cs="Arial" w:ascii="Arial" w:hAnsi="Arial"/>
          <w:b/>
          <w:bCs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זמינותם ונגישותם של כלי נשק בלתי חוקיים מאפשרות שימוש תדיר בנשק ככלי לפתרון סכסוכים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לעיתים תוך ירי באזורי מגורים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וגביית קורבנות בגוף ובנפש</w:t>
      </w:r>
      <w:r>
        <w:rPr>
          <w:rFonts w:cs="Arial" w:ascii="Arial" w:hAnsi="Arial"/>
          <w:rtl w:val="true"/>
        </w:rPr>
        <w:t>" (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579/22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טחאינה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13.6.2022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ListParagraph"/>
        <w:spacing w:lineRule="auto" w:line="360" w:before="240" w:after="240"/>
        <w:ind w:start="340" w:end="0"/>
        <w:contextualSpacing w:val="false"/>
        <w:jc w:val="both"/>
        <w:rPr/>
      </w:pPr>
      <w:r>
        <w:rPr>
          <w:rFonts w:ascii="Arial" w:hAnsi="Arial" w:cs="Arial"/>
          <w:rtl w:val="true"/>
        </w:rPr>
        <w:t>עוד נקבע כי יש לראות את תופעת הסחר הבלתי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חוקי בנשק בחומרה 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בהיותה יוצרת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מחתרתי וסוללת את הדרך לפעילות אלימה ובלתי חוקית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ניסיון החיים מלמד כי נשק שמקורו מפוקפק מוצא את דרכו לידיים עברייניות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סחר בלתי חוקי בנשק מהווה אפוא נדבך משמעותי בשרשרת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וגדיעתו מהווה תנאי הכרחי למיגורם של מעשי אלימות חמורים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 xml:space="preserve">ראו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2251/11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נפאע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4.12.2011</w:t>
      </w:r>
      <w:r>
        <w:rPr>
          <w:rFonts w:cs="Arial" w:ascii="Arial" w:hAnsi="Arial"/>
          <w:rtl w:val="true"/>
        </w:rPr>
        <w:t xml:space="preserve">);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4154/16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דהוד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19.01.2017</w:t>
      </w:r>
      <w:r>
        <w:rPr>
          <w:rFonts w:cs="Arial" w:ascii="Arial" w:hAnsi="Arial"/>
          <w:rtl w:val="true"/>
        </w:rPr>
        <w:t>)].</w:t>
      </w:r>
    </w:p>
    <w:p>
      <w:pPr>
        <w:pStyle w:val="ListParagraph"/>
        <w:spacing w:lineRule="auto" w:line="360" w:before="240" w:after="240"/>
        <w:ind w:start="34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ער לעובדה שאין עסקינן בסחר במובנו הרגיל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 הספקת נשק כנגד תשלום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עדיין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מעשהו של הנאשם הוביל לאותה תוצאה של העברת הנשק בין גורמים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יכולת שליטה על הנעשה באותו נשק בהמשך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מגמת ההחמרה בענישה בעבירות הנשק באה לידי ביטוי גם בחקיקה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שנכנס לתוקפו ביום </w:t>
      </w:r>
      <w:r>
        <w:rPr>
          <w:rFonts w:cs="Arial" w:ascii="Arial" w:hAnsi="Arial"/>
        </w:rPr>
        <w:t>8.12.21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סעיף </w:t>
      </w:r>
      <w:hyperlink r:id="rId34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קובע עונשי מינימום ביחס לעבירות נשק שונות ובהן העביר</w:t>
      </w:r>
      <w:r>
        <w:rPr>
          <w:rFonts w:ascii="Arial" w:hAnsi="Arial" w:cs="Arial"/>
          <w:rtl w:val="true"/>
        </w:rPr>
        <w:t>ות</w:t>
      </w:r>
      <w:r>
        <w:rPr>
          <w:rFonts w:ascii="Arial" w:hAnsi="Arial" w:cs="Arial"/>
          <w:rtl w:val="true"/>
        </w:rPr>
        <w:t xml:space="preserve"> מושא ההליך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שהעונש שיושת לא יפחת מרבע העונש המרבי שנקבע לעבירה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מטעמים מיוחדים שיירשמו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עונש מאסר זה בהיעדר טעמים מיוחדים לא יהיה כולו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חולק כי העביר</w:t>
      </w:r>
      <w:r>
        <w:rPr>
          <w:rFonts w:ascii="Arial" w:hAnsi="Arial" w:cs="Arial"/>
          <w:rtl w:val="true"/>
        </w:rPr>
        <w:t>ות</w:t>
      </w:r>
      <w:r>
        <w:rPr>
          <w:rFonts w:ascii="Arial" w:hAnsi="Arial" w:cs="Arial"/>
          <w:rtl w:val="true"/>
        </w:rPr>
        <w:t xml:space="preserve"> בעניינו בוצע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לאחר תיקון החוק כך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 xml:space="preserve">העונש הקבוע בצידה של </w:t>
      </w:r>
      <w:r>
        <w:rPr>
          <w:rFonts w:ascii="Arial" w:hAnsi="Arial" w:cs="Arial"/>
          <w:rtl w:val="true"/>
        </w:rPr>
        <w:t>עבירת ההספקה</w:t>
      </w:r>
      <w:r>
        <w:rPr>
          <w:rFonts w:ascii="Arial" w:hAnsi="Arial" w:cs="Arial"/>
          <w:rtl w:val="true"/>
        </w:rPr>
        <w:t xml:space="preserve"> עומד על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ובצידה של עבירת ההחזקה עומד על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ועונש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 xml:space="preserve"> המינימום עומד</w:t>
      </w:r>
      <w:r>
        <w:rPr>
          <w:rFonts w:ascii="Arial" w:hAnsi="Arial" w:cs="Arial"/>
          <w:rtl w:val="true"/>
        </w:rPr>
        <w:t>ים</w:t>
      </w:r>
      <w:r>
        <w:rPr>
          <w:rFonts w:ascii="Arial" w:hAnsi="Arial" w:cs="Arial"/>
          <w:rtl w:val="true"/>
        </w:rPr>
        <w:t xml:space="preserve"> על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ascii="Arial" w:hAnsi="Arial" w:cs="Arial"/>
          <w:rtl w:val="true"/>
        </w:rPr>
        <w:t xml:space="preserve">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בהתאמה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שאפשר כי יושת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בחלק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על תנאי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 w:val="false"/>
        <w:jc w:val="both"/>
        <w:rPr/>
      </w:pPr>
      <w:r>
        <w:rPr>
          <w:b/>
          <w:b/>
          <w:bCs/>
          <w:rtl w:val="true"/>
        </w:rPr>
        <w:t>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טיבם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תקניים</w:t>
      </w:r>
      <w:r>
        <w:rPr>
          <w:rtl w:val="true"/>
        </w:rPr>
        <w:t xml:space="preserve">",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רסס</w:t>
      </w:r>
      <w:r>
        <w:rPr>
          <w:rtl w:val="true"/>
        </w:rPr>
        <w:t xml:space="preserve">, </w:t>
      </w:r>
      <w:r>
        <w:rPr>
          <w:rtl w:val="true"/>
        </w:rPr>
        <w:t>סינוור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תקני</w:t>
      </w:r>
      <w:r>
        <w:rPr>
          <w:rtl w:val="true"/>
        </w:rPr>
        <w:t xml:space="preserve">"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 w:val="false"/>
        <w:jc w:val="both"/>
        <w:rPr/>
      </w:pPr>
      <w:r>
        <w:rPr>
          <w:b/>
          <w:b/>
          <w:bCs/>
          <w:rtl w:val="true"/>
        </w:rPr>
        <w:t>נגישות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ולשקללו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 w:val="false"/>
        <w:jc w:val="both"/>
        <w:rPr/>
      </w:pPr>
      <w:r>
        <w:rPr>
          <w:b/>
          <w:b/>
          <w:bCs/>
          <w:rtl w:val="true"/>
        </w:rPr>
        <w:t>הספקת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 w:val="false"/>
        <w:jc w:val="both"/>
        <w:rPr/>
      </w:pPr>
      <w:r>
        <w:rPr>
          <w:b/>
          <w:b/>
          <w:bCs/>
          <w:rtl w:val="true"/>
        </w:rPr>
        <w:t>התממשות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להתממש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),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מפוענח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".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רוכשים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מוגשים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מומש</w:t>
      </w:r>
      <w:r>
        <w:rPr>
          <w:rtl w:val="true"/>
        </w:rPr>
        <w:t xml:space="preserve">.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ודומה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Fonts w:ascii="Arial" w:hAnsi="Arial" w:cs="Arial"/>
          <w:rtl w:val="true"/>
        </w:rPr>
        <w:t>הנאשם כאמור ביצע שתי עבירות בנשק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הראשונה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באה לידי ביטוי החזקת האקדח והתחמושת לתקופה שאינה ידועה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השנייה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באה לידי ביטוי הספקת האקדח והתחמושת לס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color w:val="000000"/>
          <w:shd w:fill="FFFFFF" w:val="clear"/>
        </w:rPr>
      </w:pPr>
      <w:r>
        <w:rPr>
          <w:rFonts w:ascii="Arial" w:hAnsi="Arial" w:cs="Arial"/>
          <w:b/>
          <w:b/>
          <w:bCs/>
          <w:rtl w:val="true"/>
        </w:rPr>
        <w:t>כנקודת מוצא לסקירת הפסיקה</w:t>
      </w:r>
      <w:r>
        <w:rPr>
          <w:rFonts w:ascii="Arial" w:hAnsi="Arial" w:cs="Arial"/>
          <w:rtl w:val="true"/>
        </w:rPr>
        <w:t xml:space="preserve"> יש להתייחס לעמדת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שבאה לידי ביטוי ב</w:t>
      </w:r>
      <w:hyperlink r:id="rId36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5602/22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נ</w:t>
      </w:r>
      <w:r>
        <w:rPr>
          <w:b/>
          <w:bCs/>
          <w:color w:val="000000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hd w:fill="FFFFFF" w:val="clear"/>
          <w:rtl w:val="true"/>
        </w:rPr>
        <w:t>פלוני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</w:rPr>
        <w:t>14.9.2022</w:t>
      </w:r>
      <w:r>
        <w:rPr>
          <w:color w:val="000000"/>
          <w:shd w:fill="FFFFFF" w:val="clear"/>
          <w:rtl w:val="true"/>
        </w:rPr>
        <w:t xml:space="preserve">). </w:t>
      </w:r>
      <w:r>
        <w:rPr>
          <w:color w:val="000000"/>
          <w:shd w:fill="FFFFFF" w:val="clear"/>
          <w:rtl w:val="true"/>
        </w:rPr>
        <w:t>במסגרת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הליך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זה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קבע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המשפט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העליון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כי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מתחם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הענישה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לנאשם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בגיר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בגין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נשיאה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בלתי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חוקית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נשק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במרחב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הציבורי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בין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30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חודשי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מאסר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</w:t>
      </w:r>
      <w:r>
        <w:rPr>
          <w:color w:val="000000"/>
          <w:shd w:fill="FFFFFF" w:val="clear"/>
          <w:rtl w:val="true"/>
        </w:rPr>
        <w:t>-</w:t>
      </w:r>
      <w:r>
        <w:rPr>
          <w:color w:val="000000"/>
          <w:shd w:fill="FFFFFF" w:val="clear"/>
        </w:rPr>
        <w:t>42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חודשי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מאסר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לצד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רכיבי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ענישה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נלווים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  <w:rtl w:val="true"/>
        </w:rPr>
        <w:t>סעיף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16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לפסק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הדין</w:t>
      </w:r>
      <w:r>
        <w:rPr>
          <w:color w:val="000000"/>
          <w:shd w:fill="FFFFFF" w:val="clear"/>
          <w:rtl w:val="true"/>
        </w:rPr>
        <w:t xml:space="preserve">). </w:t>
      </w:r>
      <w:r>
        <w:rPr>
          <w:color w:val="000000"/>
          <w:shd w:fill="FFFFFF" w:val="clear"/>
          <w:rtl w:val="true"/>
        </w:rPr>
        <w:t>אין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חולק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כי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עבירה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עסקה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אחרת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בנשק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המוצאת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ביטוי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בהספקתו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לאחר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[</w:t>
      </w:r>
      <w:r>
        <w:rPr>
          <w:color w:val="000000"/>
          <w:shd w:fill="FFFFFF" w:val="clear"/>
          <w:rtl w:val="true"/>
        </w:rPr>
        <w:t>בהתאם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hyperlink r:id="rId37">
        <w:r>
          <w:rPr>
            <w:rStyle w:val="Hyperlink"/>
            <w:shd w:fill="FFFFFF" w:val="clear"/>
            <w:rtl w:val="true"/>
          </w:rPr>
          <w:t>לסעיף</w:t>
        </w:r>
        <w:r>
          <w:rPr>
            <w:rStyle w:val="Hyperlink"/>
            <w:rFonts w:cs="Times New Roman"/>
            <w:shd w:fill="FFFFFF" w:val="clear"/>
            <w:rtl w:val="true"/>
          </w:rPr>
          <w:t xml:space="preserve"> </w:t>
        </w:r>
        <w:r>
          <w:rPr>
            <w:rStyle w:val="Hyperlink"/>
            <w:shd w:fill="FFFFFF" w:val="clear"/>
          </w:rPr>
          <w:t>144</w:t>
        </w:r>
        <w:r>
          <w:rPr>
            <w:rStyle w:val="Hyperlink"/>
            <w:shd w:fill="FFFFFF" w:val="clear"/>
            <w:rtl w:val="true"/>
          </w:rPr>
          <w:t>(</w:t>
        </w:r>
        <w:r>
          <w:rPr>
            <w:rStyle w:val="Hyperlink"/>
            <w:shd w:fill="FFFFFF" w:val="clear"/>
            <w:rtl w:val="true"/>
          </w:rPr>
          <w:t>ב</w:t>
        </w:r>
        <w:r>
          <w:rPr>
            <w:rStyle w:val="Hyperlink"/>
            <w:shd w:fill="FFFFFF" w:val="clear"/>
          </w:rPr>
          <w:t>2</w:t>
        </w:r>
        <w:r>
          <w:rPr>
            <w:rStyle w:val="Hyperlink"/>
            <w:shd w:fill="FFFFFF" w:val="clear"/>
            <w:rtl w:val="true"/>
          </w:rPr>
          <w:t>)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shd w:fill="FFFFFF" w:val="clear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העונשין</w:t>
        </w:r>
      </w:hyperlink>
      <w:r>
        <w:rPr>
          <w:color w:val="000000"/>
          <w:shd w:fill="FFFFFF" w:val="clear"/>
          <w:rtl w:val="true"/>
        </w:rPr>
        <w:t xml:space="preserve">] </w:t>
      </w:r>
      <w:r>
        <w:rPr>
          <w:color w:val="000000"/>
          <w:shd w:fill="FFFFFF" w:val="clear"/>
          <w:rtl w:val="true"/>
        </w:rPr>
        <w:t>חמורה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יותר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מעבירה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נשיאת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נשק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[</w:t>
      </w:r>
      <w:r>
        <w:rPr>
          <w:color w:val="000000"/>
          <w:shd w:fill="FFFFFF" w:val="clear"/>
          <w:rtl w:val="true"/>
        </w:rPr>
        <w:t>בהתאם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hyperlink r:id="rId39">
        <w:r>
          <w:rPr>
            <w:rStyle w:val="Hyperlink"/>
            <w:shd w:fill="FFFFFF" w:val="clear"/>
            <w:rtl w:val="true"/>
          </w:rPr>
          <w:t>לסעיף</w:t>
        </w:r>
        <w:r>
          <w:rPr>
            <w:rStyle w:val="Hyperlink"/>
            <w:rFonts w:cs="Times New Roman"/>
            <w:shd w:fill="FFFFFF" w:val="clear"/>
            <w:rtl w:val="true"/>
          </w:rPr>
          <w:t xml:space="preserve"> </w:t>
        </w:r>
        <w:r>
          <w:rPr>
            <w:rStyle w:val="Hyperlink"/>
            <w:shd w:fill="FFFFFF" w:val="clear"/>
          </w:rPr>
          <w:t>144</w:t>
        </w:r>
        <w:r>
          <w:rPr>
            <w:rStyle w:val="Hyperlink"/>
            <w:shd w:fill="FFFFFF" w:val="clear"/>
            <w:rtl w:val="true"/>
          </w:rPr>
          <w:t>(</w:t>
        </w:r>
        <w:r>
          <w:rPr>
            <w:rStyle w:val="Hyperlink"/>
            <w:shd w:fill="FFFFFF" w:val="clear"/>
            <w:rtl w:val="true"/>
          </w:rPr>
          <w:t>ב</w:t>
        </w:r>
        <w:r>
          <w:rPr>
            <w:rStyle w:val="Hyperlink"/>
            <w:shd w:fill="FFFFFF" w:val="clear"/>
            <w:rtl w:val="true"/>
          </w:rPr>
          <w:t>)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לחוק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העונשין</w:t>
      </w:r>
      <w:r>
        <w:rPr>
          <w:color w:val="000000"/>
          <w:shd w:fill="FFFFFF" w:val="clear"/>
          <w:rtl w:val="true"/>
        </w:rPr>
        <w:t xml:space="preserve">] </w:t>
      </w:r>
      <w:r>
        <w:rPr>
          <w:color w:val="000000"/>
          <w:shd w:fill="FFFFFF" w:val="clear"/>
          <w:rtl w:val="true"/>
        </w:rPr>
        <w:t>כך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שברור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כי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הרף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התחתון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מתחם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הענישה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לעניין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הספקה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צריך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להיות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גבוה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</w:t>
      </w:r>
      <w:r>
        <w:rPr>
          <w:color w:val="000000"/>
          <w:shd w:fill="FFFFFF" w:val="clear"/>
          <w:rtl w:val="true"/>
        </w:rPr>
        <w:t>-</w:t>
      </w:r>
      <w:r>
        <w:rPr>
          <w:color w:val="000000"/>
          <w:shd w:fill="FFFFFF" w:val="clear"/>
        </w:rPr>
        <w:t>30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חודשי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מאסר</w:t>
      </w:r>
      <w:r>
        <w:rPr>
          <w:color w:val="000000"/>
          <w:shd w:fill="FFFFFF" w:val="clear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13.2.2022</w:t>
      </w:r>
      <w:r>
        <w:rPr>
          <w:rtl w:val="true"/>
        </w:rPr>
        <w:t xml:space="preserve">) -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Arial" w:hAnsi="Arial" w:cs="Arial"/>
        </w:rPr>
      </w:pP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54444-04-22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מחאמיד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26.12.2022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 xml:space="preserve">בעניינו של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 w:cs="Arial"/>
          <w:rtl w:val="true"/>
        </w:rPr>
        <w:t>הנאשם הורשע על יסוד הודאתו במסגרת הסדר טיעון בעבירות בנשק של עסקה אחרת והחזקה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סיכם עם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מועתסם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יספק לו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עדכן מועתסם את אחיהם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בפרטי העסקה והעביר לג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מיל סך של </w:t>
      </w:r>
      <w:r>
        <w:rPr>
          <w:rFonts w:cs="David" w:ascii="David" w:hAnsi="David"/>
        </w:rPr>
        <w:t>35,000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קיבל לידיו אקדח חצי אוטומטי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שקיבל את הכסף מג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מיל מסר את האקדח למועתסם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</w:t>
      </w:r>
      <w:r>
        <w:rPr>
          <w:rFonts w:ascii="David" w:hAnsi="David"/>
          <w:b/>
          <w:b/>
          <w:bCs/>
          <w:rtl w:val="true"/>
        </w:rPr>
        <w:t xml:space="preserve">מתחם הנע בין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60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</w:t>
      </w:r>
      <w:r>
        <w:rPr>
          <w:rFonts w:cs="Arial" w:ascii="Arial" w:hAnsi="Arial"/>
          <w:b/>
          <w:bCs/>
        </w:rPr>
        <w:t>48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לצד ענישה נלווית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להחזקת הנשק בלבד</w:t>
      </w:r>
      <w:r>
        <w:rPr>
          <w:rFonts w:cs="Arial" w:ascii="Arial" w:hAnsi="Arial"/>
          <w:rtl w:val="true"/>
        </w:rPr>
        <w:t xml:space="preserve">: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hyperlink r:id="rId42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6332/22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פדידה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נ</w:t>
      </w:r>
      <w:r>
        <w:rPr>
          <w:b/>
          <w:bCs/>
          <w:color w:val="000000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ישראל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</w:rPr>
        <w:t>16.2.2023</w:t>
      </w:r>
      <w:r>
        <w:rPr>
          <w:color w:val="000000"/>
          <w:shd w:fill="FFFFFF" w:val="clear"/>
          <w:rtl w:val="true"/>
        </w:rPr>
        <w:t xml:space="preserve">) - </w:t>
      </w:r>
      <w:r>
        <w:rPr>
          <w:color w:val="000000"/>
          <w:shd w:fill="FFFFFF" w:val="clear"/>
          <w:rtl w:val="true"/>
        </w:rPr>
        <w:t>המערער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הורשע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יסוד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הודאתו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במסגרת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הסדר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טיעון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בעבירה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החזקת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נשק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בכך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שהחזיק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במשאית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שבבעלותו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אקדח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הזנקה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שהוסב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לירי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תחמושת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ובו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מחסנית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8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כדורים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בית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המשפט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המחוזי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קבע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מתחם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הנע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בין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Cs/>
          <w:color w:val="000000"/>
          <w:shd w:fill="FFFFFF" w:val="clear"/>
        </w:rPr>
        <w:t>11</w:t>
      </w:r>
      <w:r>
        <w:rPr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ל</w:t>
      </w:r>
      <w:r>
        <w:rPr>
          <w:b/>
          <w:bCs/>
          <w:color w:val="000000"/>
          <w:shd w:fill="FFFFFF" w:val="clear"/>
          <w:rtl w:val="true"/>
        </w:rPr>
        <w:t>-</w:t>
      </w:r>
      <w:r>
        <w:rPr>
          <w:b/>
          <w:bCs/>
          <w:color w:val="000000"/>
          <w:shd w:fill="FFFFFF" w:val="clear"/>
        </w:rPr>
        <w:t>30</w:t>
      </w:r>
      <w:r>
        <w:rPr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מאסר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וגזר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עליו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11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חודשי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מאסר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לצד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ענישה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נלווית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ערעורו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לבית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המשפט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העליון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התקבל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באופן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שעונשו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הופחת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נוכח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נסיבותיו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האישיות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כך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שעונשו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יעמוד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9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חודשי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מאסר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לריצוי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דרך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עבודות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שירות</w:t>
      </w:r>
      <w:r>
        <w:rPr>
          <w:color w:val="000000"/>
          <w:shd w:fill="FFFFFF" w:val="clear"/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color w:val="000000"/>
          <w:shd w:fill="FFFFFF" w:val="clear"/>
        </w:rPr>
      </w:pPr>
      <w:hyperlink r:id="rId43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2482/22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נ</w:t>
      </w:r>
      <w:r>
        <w:rPr>
          <w:b/>
          <w:bCs/>
          <w:color w:val="000000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hd w:fill="FFFFFF" w:val="clear"/>
          <w:rtl w:val="true"/>
        </w:rPr>
        <w:t>אחמד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קדורה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</w:rPr>
        <w:t>14.04.2022</w:t>
      </w:r>
      <w:r>
        <w:rPr>
          <w:color w:val="000000"/>
          <w:shd w:fill="FFFFFF" w:val="clear"/>
          <w:rtl w:val="true"/>
        </w:rPr>
        <w:t xml:space="preserve">) - </w:t>
      </w:r>
      <w:r>
        <w:rPr>
          <w:color w:val="000000"/>
          <w:shd w:fill="FFFFFF" w:val="clear"/>
          <w:rtl w:val="true"/>
        </w:rPr>
        <w:t>המערער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הורשע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יסוד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הודאתו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בעבירה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החזקת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נשק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בצוותא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אחר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לפי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hyperlink r:id="rId44">
        <w:r>
          <w:rPr>
            <w:rStyle w:val="Hyperlink"/>
            <w:shd w:fill="FFFFFF" w:val="clear"/>
            <w:rtl w:val="true"/>
          </w:rPr>
          <w:t>סעיף</w:t>
        </w:r>
        <w:r>
          <w:rPr>
            <w:rStyle w:val="Hyperlink"/>
            <w:rFonts w:cs="Times New Roman"/>
            <w:shd w:fill="FFFFFF" w:val="clear"/>
            <w:rtl w:val="true"/>
          </w:rPr>
          <w:t xml:space="preserve"> </w:t>
        </w:r>
        <w:r>
          <w:rPr>
            <w:rStyle w:val="Hyperlink"/>
            <w:shd w:fill="FFFFFF" w:val="clear"/>
          </w:rPr>
          <w:t>144</w:t>
        </w:r>
        <w:r>
          <w:rPr>
            <w:rStyle w:val="Hyperlink"/>
            <w:shd w:fill="FFFFFF" w:val="clear"/>
            <w:rtl w:val="true"/>
          </w:rPr>
          <w:t>(</w:t>
        </w:r>
        <w:r>
          <w:rPr>
            <w:rStyle w:val="Hyperlink"/>
            <w:shd w:fill="FFFFFF" w:val="clear"/>
            <w:rtl w:val="true"/>
          </w:rPr>
          <w:t>א</w:t>
        </w:r>
        <w:r>
          <w:rPr>
            <w:rStyle w:val="Hyperlink"/>
            <w:shd w:fill="FFFFFF" w:val="clear"/>
            <w:rtl w:val="true"/>
          </w:rPr>
          <w:t>)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רישא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וסיפא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בצירוף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hyperlink r:id="rId45">
        <w:r>
          <w:rPr>
            <w:rStyle w:val="Hyperlink"/>
            <w:shd w:fill="FFFFFF" w:val="clear"/>
            <w:rtl w:val="true"/>
          </w:rPr>
          <w:t>סעיף</w:t>
        </w:r>
        <w:r>
          <w:rPr>
            <w:rStyle w:val="Hyperlink"/>
            <w:rFonts w:cs="Times New Roman"/>
            <w:shd w:fill="FFFFFF" w:val="clear"/>
            <w:rtl w:val="true"/>
          </w:rPr>
          <w:t xml:space="preserve"> </w:t>
        </w:r>
        <w:r>
          <w:rPr>
            <w:rStyle w:val="Hyperlink"/>
            <w:shd w:fill="FFFFFF" w:val="clear"/>
          </w:rPr>
          <w:t>29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shd w:fill="FFFFFF" w:val="clear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העונשין</w:t>
        </w:r>
      </w:hyperlink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בכך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שהחזיק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באקדח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מסוג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"</w:t>
      </w:r>
      <w:r>
        <w:rPr>
          <w:color w:val="000000"/>
          <w:shd w:fill="FFFFFF" w:val="clear"/>
          <w:rtl w:val="true"/>
        </w:rPr>
        <w:t>גלוק</w:t>
      </w:r>
      <w:r>
        <w:rPr>
          <w:color w:val="000000"/>
          <w:shd w:fill="FFFFFF" w:val="clear"/>
          <w:rtl w:val="true"/>
        </w:rPr>
        <w:t xml:space="preserve">", </w:t>
      </w:r>
      <w:r>
        <w:rPr>
          <w:color w:val="000000"/>
          <w:shd w:fill="FFFFFF" w:val="clear"/>
          <w:rtl w:val="true"/>
        </w:rPr>
        <w:t>מחסנית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כדורים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ורימון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הלם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בית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המשפט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המחוזי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קבע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מתחם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ענישה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שנע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בין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Cs/>
          <w:color w:val="000000"/>
          <w:shd w:fill="FFFFFF" w:val="clear"/>
        </w:rPr>
        <w:t>10</w:t>
      </w:r>
      <w:r>
        <w:rPr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ל</w:t>
      </w:r>
      <w:r>
        <w:rPr>
          <w:b/>
          <w:bCs/>
          <w:color w:val="000000"/>
          <w:shd w:fill="FFFFFF" w:val="clear"/>
          <w:rtl w:val="true"/>
        </w:rPr>
        <w:t>-</w:t>
      </w:r>
      <w:r>
        <w:rPr>
          <w:b/>
          <w:bCs/>
          <w:color w:val="000000"/>
          <w:shd w:fill="FFFFFF" w:val="clear"/>
        </w:rPr>
        <w:t>36</w:t>
      </w:r>
      <w:r>
        <w:rPr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מאסר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והשית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עליו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10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חודשי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מאסר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בפועל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לצד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ענישה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נלווית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וזאת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בשים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לב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למשך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הזמן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הקצר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שבו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הוחזק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הנשק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  <w:rtl w:val="true"/>
        </w:rPr>
        <w:t>ימים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ספורים</w:t>
      </w:r>
      <w:r>
        <w:rPr>
          <w:color w:val="000000"/>
          <w:shd w:fill="FFFFFF" w:val="clear"/>
          <w:rtl w:val="true"/>
        </w:rPr>
        <w:t xml:space="preserve">), </w:t>
      </w:r>
      <w:r>
        <w:rPr>
          <w:color w:val="000000"/>
          <w:shd w:fill="FFFFFF" w:val="clear"/>
          <w:rtl w:val="true"/>
        </w:rPr>
        <w:t>לשיתוף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הפעולה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המערער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רשויות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אכיפת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החוק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הגם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שהאקדח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לא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נתפס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להודאתו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המידית</w:t>
      </w:r>
      <w:r>
        <w:rPr>
          <w:color w:val="000000"/>
          <w:shd w:fill="FFFFFF" w:val="clear"/>
          <w:rtl w:val="true"/>
        </w:rPr>
        <w:t xml:space="preserve">, </w:t>
      </w:r>
      <w:r>
        <w:rPr>
          <w:color w:val="000000"/>
          <w:shd w:fill="FFFFFF" w:val="clear"/>
          <w:rtl w:val="true"/>
        </w:rPr>
        <w:t>לגילו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הצעיר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</w:rPr>
        <w:t>19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שנים</w:t>
      </w:r>
      <w:r>
        <w:rPr>
          <w:color w:val="000000"/>
          <w:shd w:fill="FFFFFF" w:val="clear"/>
          <w:rtl w:val="true"/>
        </w:rPr>
        <w:t xml:space="preserve">) </w:t>
      </w:r>
      <w:r>
        <w:rPr>
          <w:color w:val="000000"/>
          <w:shd w:fill="FFFFFF" w:val="clear"/>
          <w:rtl w:val="true"/>
        </w:rPr>
        <w:t>ולעברו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הנקי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ערעור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קולת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העונש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שהגישה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המדינה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לבית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המשפט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העליון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התקבל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והעונש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הוחמר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</w:t>
      </w:r>
      <w:r>
        <w:rPr>
          <w:color w:val="000000"/>
          <w:shd w:fill="FFFFFF" w:val="clear"/>
          <w:rtl w:val="true"/>
        </w:rPr>
        <w:t>-</w:t>
      </w:r>
      <w:r>
        <w:rPr>
          <w:color w:val="000000"/>
          <w:shd w:fill="FFFFFF" w:val="clear"/>
        </w:rPr>
        <w:t>18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חודשי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מאסר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בפועל</w:t>
      </w:r>
      <w:r>
        <w:rPr>
          <w:color w:val="000000"/>
          <w:shd w:fill="FFFFFF" w:val="clear"/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hyperlink r:id="rId47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2015/21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אזברגה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נ</w:t>
      </w:r>
      <w:r>
        <w:rPr>
          <w:b/>
          <w:bCs/>
          <w:color w:val="000000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ישראל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(</w:t>
      </w:r>
      <w:r>
        <w:rPr>
          <w:color w:val="000000"/>
          <w:shd w:fill="FFFFFF" w:val="clear"/>
        </w:rPr>
        <w:t>9.12.2021</w:t>
      </w:r>
      <w:r>
        <w:rPr>
          <w:color w:val="000000"/>
          <w:shd w:fill="FFFFFF" w:val="clear"/>
          <w:rtl w:val="true"/>
        </w:rPr>
        <w:t xml:space="preserve">) </w:t>
      </w:r>
      <w:r>
        <w:rPr>
          <w:color w:val="000000"/>
          <w:shd w:fill="FFFFFF" w:val="clear"/>
          <w:rtl w:val="true"/>
        </w:rPr>
        <w:t>-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המערער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הורשע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יסוד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הודאתו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בעבירה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החזקת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נשק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בכך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שנהג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ברכב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כשהוא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מחזיק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עמו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שלא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כדין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שני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אקדחים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בית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המשפט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המחוזי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קבע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בעניינו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מתחם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הנע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בין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Cs/>
          <w:color w:val="000000"/>
          <w:shd w:fill="FFFFFF" w:val="clear"/>
        </w:rPr>
        <w:t>12</w:t>
      </w:r>
      <w:r>
        <w:rPr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ל</w:t>
      </w:r>
      <w:r>
        <w:rPr>
          <w:b/>
          <w:bCs/>
          <w:color w:val="000000"/>
          <w:shd w:fill="FFFFFF" w:val="clear"/>
          <w:rtl w:val="true"/>
        </w:rPr>
        <w:t>-</w:t>
      </w:r>
      <w:r>
        <w:rPr>
          <w:b/>
          <w:bCs/>
          <w:color w:val="000000"/>
          <w:shd w:fill="FFFFFF" w:val="clear"/>
        </w:rPr>
        <w:t>30</w:t>
      </w:r>
      <w:r>
        <w:rPr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חודשים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וגזר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עליו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</w:rPr>
        <w:t>16</w:t>
      </w:r>
      <w:r>
        <w:rPr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חודשי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מאסר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לצד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ענישה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נלווית</w:t>
      </w:r>
      <w:r>
        <w:rPr>
          <w:color w:val="000000"/>
          <w:shd w:fill="FFFFFF" w:val="clear"/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>ערעורו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לבית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המשפט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העליון</w:t>
      </w:r>
      <w:r>
        <w:rPr>
          <w:rFonts w:cs="Times New Roman"/>
          <w:color w:val="000000"/>
          <w:shd w:fill="FFFFFF" w:val="clear"/>
          <w:rtl w:val="true"/>
        </w:rPr>
        <w:t xml:space="preserve"> </w:t>
      </w:r>
      <w:r>
        <w:rPr>
          <w:color w:val="000000"/>
          <w:shd w:fill="FFFFFF" w:val="clear"/>
          <w:rtl w:val="true"/>
        </w:rPr>
        <w:t>נדחה</w:t>
      </w:r>
      <w:r>
        <w:rPr>
          <w:color w:val="000000"/>
          <w:shd w:fill="FFFFFF" w:val="clear"/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2141/21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חניני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3.5.2021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-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בהחזקת נשק לפי </w:t>
      </w:r>
      <w:hyperlink r:id="rId4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ותחמושת לפי </w:t>
      </w:r>
      <w:hyperlink r:id="rId5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הצטייד באקדח אוויר שבוצעו בו שינויים שמאפשרים ירי של תחמושת בקליבר </w:t>
      </w:r>
      <w:r>
        <w:rPr>
          <w:rFonts w:cs="Arial" w:ascii="Arial" w:hAnsi="Arial"/>
        </w:rPr>
        <w:t>7.65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ובכדורים תואמים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ללא רישיון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נתפס בחצר קרובה לביתו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נושא את האקדח על גופו ובתוכו ארבעה 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</w:t>
      </w:r>
      <w:r>
        <w:rPr>
          <w:rFonts w:ascii="Arial" w:hAnsi="Arial" w:cs="Arial"/>
          <w:b/>
          <w:b/>
          <w:bCs/>
          <w:rtl w:val="true"/>
        </w:rPr>
        <w:t xml:space="preserve">מתחם ענישה שנע בין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המערער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שהגיש המערער לבית המשפט העליון נדחה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b/>
          <w:bCs/>
        </w:rPr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אימוץ הרף התחתון של המתחם שייקבע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).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ואסביר</w:t>
      </w:r>
      <w:r>
        <w:rPr>
          <w:rtl w:val="true"/>
        </w:rPr>
        <w:t>: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הקלאסי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tl w:val="true"/>
        </w:rPr>
        <w:t xml:space="preserve">: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);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. </w:t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ואסתפק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לופוליאנסקי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צבי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u w:val="single"/>
        </w:rPr>
      </w:pPr>
      <w:r>
        <w:rPr>
          <w:u w:val="single"/>
          <w:rtl w:val="true"/>
        </w:rPr>
        <w:t>סוף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דבר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u w:val="single"/>
        </w:rPr>
      </w:pPr>
      <w:r>
        <w:rPr>
          <w:rFonts w:ascii="Arial" w:hAnsi="Arial" w:cs="Arial"/>
          <w:rtl w:val="true"/>
        </w:rPr>
        <w:t xml:space="preserve">על יסוד כלל השיקולים שפורטו ראיתי למקם את הנאשם </w:t>
      </w:r>
      <w:r>
        <w:rPr>
          <w:rFonts w:ascii="Arial" w:hAnsi="Arial" w:cs="Arial"/>
          <w:rtl w:val="true"/>
        </w:rPr>
        <w:t>בסמוך ל</w:t>
      </w:r>
      <w:r>
        <w:rPr>
          <w:rFonts w:ascii="Arial" w:hAnsi="Arial" w:cs="Arial"/>
          <w:rtl w:val="true"/>
        </w:rPr>
        <w:t>חלקו התחתון של מתחם העונש ההולם ולהטיל עליו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 w:val="false"/>
        <w:jc w:val="both"/>
        <w:rPr/>
      </w:pP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23.6.22-20.9.22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10.10.23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 w:val="false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 w:val="false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 w:val="false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1.1.24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>.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Nitan"/>
      <w:r>
        <w:rPr>
          <w:rFonts w:ascii="Arial" w:hAnsi="Arial" w:cs="Arial"/>
          <w:b/>
          <w:b/>
          <w:bCs/>
          <w:rtl w:val="true"/>
        </w:rPr>
        <w:t>ניתן והודע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 אב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tblpPr w:vertAnchor="text" w:horzAnchor="page" w:leftFromText="180" w:rightFromText="180" w:tblpX="-106" w:tblpY="86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eastAsia="he-IL"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4612-07-22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הרצל שמאמי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  <w:lang w:bidi="he-IL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b w:val="false"/>
      <w:bCs w:val="false"/>
      <w:lang w:bidi="he-IL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g" TargetMode="External"/><Relationship Id="rId8" Type="http://schemas.openxmlformats.org/officeDocument/2006/relationships/hyperlink" Target="http://www.nevo.co.il/law/71835" TargetMode="External"/><Relationship Id="rId9" Type="http://schemas.openxmlformats.org/officeDocument/2006/relationships/hyperlink" Target="http://www.nevo.co.il/law/71835/2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187.a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1835/2" TargetMode="External"/><Relationship Id="rId16" Type="http://schemas.openxmlformats.org/officeDocument/2006/relationships/hyperlink" Target="http://www.nevo.co.il/law/71835" TargetMode="External"/><Relationship Id="rId17" Type="http://schemas.openxmlformats.org/officeDocument/2006/relationships/hyperlink" Target="http://www.nevo.co.il/law/74903/187.a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law/74903/187.a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law/71835/2" TargetMode="External"/><Relationship Id="rId22" Type="http://schemas.openxmlformats.org/officeDocument/2006/relationships/hyperlink" Target="http://www.nevo.co.il/law/71835" TargetMode="External"/><Relationship Id="rId23" Type="http://schemas.openxmlformats.org/officeDocument/2006/relationships/hyperlink" Target="http://www.nevo.co.il/law/74903/187.a" TargetMode="External"/><Relationship Id="rId24" Type="http://schemas.openxmlformats.org/officeDocument/2006/relationships/hyperlink" Target="http://www.nevo.co.il/law/74903" TargetMode="External"/><Relationship Id="rId25" Type="http://schemas.openxmlformats.org/officeDocument/2006/relationships/hyperlink" Target="http://www.nevo.co.il/law/71835/2" TargetMode="External"/><Relationship Id="rId26" Type="http://schemas.openxmlformats.org/officeDocument/2006/relationships/hyperlink" Target="http://www.nevo.co.il/law/71835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8384637" TargetMode="External"/><Relationship Id="rId29" Type="http://schemas.openxmlformats.org/officeDocument/2006/relationships/hyperlink" Target="http://www.nevo.co.il/case/28243273" TargetMode="External"/><Relationship Id="rId30" Type="http://schemas.openxmlformats.org/officeDocument/2006/relationships/hyperlink" Target="http://www.nevo.co.il/case/28266138" TargetMode="External"/><Relationship Id="rId31" Type="http://schemas.openxmlformats.org/officeDocument/2006/relationships/hyperlink" Target="http://www.nevo.co.il/case/5821327" TargetMode="External"/><Relationship Id="rId32" Type="http://schemas.openxmlformats.org/officeDocument/2006/relationships/hyperlink" Target="http://www.nevo.co.il/case/21474520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.g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8883087" TargetMode="External"/><Relationship Id="rId37" Type="http://schemas.openxmlformats.org/officeDocument/2006/relationships/hyperlink" Target="http://www.nevo.co.il/law/70301/144.b2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144.b" TargetMode="External"/><Relationship Id="rId40" Type="http://schemas.openxmlformats.org/officeDocument/2006/relationships/hyperlink" Target="http://www.nevo.co.il/case/27925239" TargetMode="External"/><Relationship Id="rId41" Type="http://schemas.openxmlformats.org/officeDocument/2006/relationships/hyperlink" Target="http://www.nevo.co.il/case/28566282" TargetMode="External"/><Relationship Id="rId42" Type="http://schemas.openxmlformats.org/officeDocument/2006/relationships/hyperlink" Target="http://www.nevo.co.il/case/28963593" TargetMode="External"/><Relationship Id="rId43" Type="http://schemas.openxmlformats.org/officeDocument/2006/relationships/hyperlink" Target="http://www.nevo.co.il/case/28513828" TargetMode="External"/><Relationship Id="rId44" Type="http://schemas.openxmlformats.org/officeDocument/2006/relationships/hyperlink" Target="http://www.nevo.co.il/law/70301/144.a" TargetMode="External"/><Relationship Id="rId45" Type="http://schemas.openxmlformats.org/officeDocument/2006/relationships/hyperlink" Target="http://www.nevo.co.il/law/70301/29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27491153" TargetMode="External"/><Relationship Id="rId48" Type="http://schemas.openxmlformats.org/officeDocument/2006/relationships/hyperlink" Target="http://www.nevo.co.il/case/27502726" TargetMode="External"/><Relationship Id="rId49" Type="http://schemas.openxmlformats.org/officeDocument/2006/relationships/hyperlink" Target="http://www.nevo.co.il/law/70301/144.a" TargetMode="External"/><Relationship Id="rId50" Type="http://schemas.openxmlformats.org/officeDocument/2006/relationships/hyperlink" Target="http://www.nevo.co.il/law/70301/144.a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2024-08-26T14:06:00Z</dcterms:created>
  <dc:creator> </dc:creator>
  <dc:description/>
  <cp:keywords/>
  <dc:language>en-IL</dc:language>
  <cp:lastModifiedBy>h1</cp:lastModifiedBy>
  <dcterms:modified xsi:type="dcterms:W3CDTF">2024-08-26T14:06:00Z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הרצל שמאמי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28384637;28243273;28266138;5821327;21474520;28883087;27925239;28566282;28963593;28513828;27491153;27502726</vt:lpwstr>
  </property>
  <property fmtid="{D5CDD505-2E9C-101B-9397-08002B2CF9AE}" pid="9" name="CITY">
    <vt:lpwstr>ת"א</vt:lpwstr>
  </property>
  <property fmtid="{D5CDD505-2E9C-101B-9397-08002B2CF9AE}" pid="10" name="DATE">
    <vt:lpwstr>20230730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70301/144.a:4;144.b2:2;144.g;144.b;029</vt:lpwstr>
  </property>
  <property fmtid="{D5CDD505-2E9C-101B-9397-08002B2CF9AE}" pid="15" name="LAWLISTTMP2">
    <vt:lpwstr>71835/002:3</vt:lpwstr>
  </property>
  <property fmtid="{D5CDD505-2E9C-101B-9397-08002B2CF9AE}" pid="16" name="LAWLISTTMP3">
    <vt:lpwstr>74903/187.a:3</vt:lpwstr>
  </property>
  <property fmtid="{D5CDD505-2E9C-101B-9397-08002B2CF9AE}" pid="17" name="LAWYER">
    <vt:lpwstr>ליהי מלצמן;שי לוי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4612</vt:lpwstr>
  </property>
  <property fmtid="{D5CDD505-2E9C-101B-9397-08002B2CF9AE}" pid="24" name="NEWPARTB">
    <vt:lpwstr>07</vt:lpwstr>
  </property>
  <property fmtid="{D5CDD505-2E9C-101B-9397-08002B2CF9AE}" pid="25" name="NEWPARTC">
    <vt:lpwstr>22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390020230730</vt:lpwstr>
  </property>
  <property fmtid="{D5CDD505-2E9C-101B-9397-08002B2CF9AE}" pid="36" name="TYPE_N_DATE">
    <vt:lpwstr>39020230730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