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46125-09-17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צאנו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2018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דניאל בן טולילה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פמ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ד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יעל לויה פינק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מאיר צאנו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לא בעניינו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רחמים חדאד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לא בעניינו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טאלל עבייד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4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יאיר טובל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xxxxxxxxxxx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נדון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5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נהוראי קדם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נדון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6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ישראל ואזנה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בעצמו על ידי בא כוחו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ויצמן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כ המאשימה 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שוחחתי עם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ויצמן והוא אמר שנתקע ולא יוכל להגיע ולא מצא לו מחליף ומבקש לשמוע בהעדרו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אני גם מעדיף לא לחכות עוד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תחת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בעניינו של 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6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bookmarkStart w:id="11" w:name="ABSTRACT_START"/>
      <w:bookmarkEnd w:id="11"/>
      <w:r>
        <w:rPr>
          <w:rtl w:val="true"/>
        </w:rPr>
        <w:t xml:space="preserve">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הורשע 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בעובדות כתב אישום מתוקן בעבירה של עסקה בנשק בהתאם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").</w:t>
      </w:r>
    </w:p>
    <w:p>
      <w:pPr>
        <w:pStyle w:val="Normal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14.8.17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19:42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התקשר מישל ז</w:t>
      </w:r>
      <w:r>
        <w:rPr>
          <w:rtl w:val="true"/>
        </w:rPr>
        <w:t>'</w:t>
      </w:r>
      <w:r>
        <w:rPr>
          <w:rtl w:val="true"/>
        </w:rPr>
        <w:t>אנו מהכלא אל נ</w:t>
      </w:r>
      <w:r>
        <w:rPr>
          <w:rtl w:val="true"/>
        </w:rPr>
        <w:t>.</w:t>
      </w:r>
      <w:r>
        <w:rPr>
          <w:rtl w:val="true"/>
        </w:rPr>
        <w:t xml:space="preserve">פ </w:t>
      </w:r>
      <w:r>
        <w:rPr/>
        <w:t>557723/13</w:t>
      </w:r>
      <w:r>
        <w:rPr>
          <w:rtl w:val="true"/>
        </w:rPr>
        <w:t xml:space="preserve"> </w:t>
      </w:r>
      <w:r>
        <w:rPr>
          <w:rtl w:val="true"/>
        </w:rPr>
        <w:t xml:space="preserve">שהופעל על ידי משטרת ישראל כסוכן סמוי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הסוכן</w:t>
      </w:r>
      <w:r>
        <w:rPr>
          <w:rtl w:val="true"/>
        </w:rPr>
        <w:t xml:space="preserve">") </w:t>
      </w:r>
      <w:r>
        <w:rPr>
          <w:rtl w:val="true"/>
        </w:rPr>
        <w:t xml:space="preserve">ומסר לו את מספר הטלפון של נאשם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באומרו כי איתו יוכל הסוכן לברר בנוגע לרכישת 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עד לתאריך </w:t>
      </w:r>
      <w:r>
        <w:rPr/>
        <w:t>3.9.17</w:t>
      </w:r>
      <w:r>
        <w:rPr>
          <w:rtl w:val="true"/>
        </w:rPr>
        <w:t xml:space="preserve"> </w:t>
      </w:r>
      <w:r>
        <w:rPr>
          <w:rtl w:val="true"/>
        </w:rPr>
        <w:t xml:space="preserve">קיבל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מספר רב של שיחות טלפון שמטרתן להוציא את העסקה לפועל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בתאריך </w:t>
      </w:r>
      <w:r>
        <w:rPr/>
        <w:t>3.9.17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11:38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שוחח הסוכן ממקום המפגש עם מפעילו במרחב לכיש ובהנחייתו</w:t>
      </w:r>
      <w:r>
        <w:rPr>
          <w:rtl w:val="true"/>
        </w:rPr>
        <w:t xml:space="preserve">, </w:t>
      </w:r>
      <w:r>
        <w:rPr>
          <w:rtl w:val="true"/>
        </w:rPr>
        <w:t xml:space="preserve">עם 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והשניים קבעו להיפגש בהמשך היום לצורך תיאום עסקה בנשק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19:39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התקשר מישל ז</w:t>
      </w:r>
      <w:r>
        <w:rPr>
          <w:rtl w:val="true"/>
        </w:rPr>
        <w:t>'</w:t>
      </w:r>
      <w:r>
        <w:rPr>
          <w:rtl w:val="true"/>
        </w:rPr>
        <w:t>אנו אל הסוכן ושאל אותו למעשיו</w:t>
      </w:r>
      <w:r>
        <w:rPr>
          <w:rtl w:val="true"/>
        </w:rPr>
        <w:t xml:space="preserve">, </w:t>
      </w:r>
      <w:r>
        <w:rPr>
          <w:rtl w:val="true"/>
        </w:rPr>
        <w:t xml:space="preserve">וזה השיב לו שהוא ממתין לנאשם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שהודיע לו שיפגשו בשעה </w:t>
      </w:r>
      <w:r>
        <w:rPr/>
        <w:t>22:00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מספר דקות התקשר מישל ז</w:t>
      </w:r>
      <w:r>
        <w:rPr>
          <w:rtl w:val="true"/>
        </w:rPr>
        <w:t>'</w:t>
      </w:r>
      <w:r>
        <w:rPr>
          <w:rtl w:val="true"/>
        </w:rPr>
        <w:t xml:space="preserve">אנו שוב אל הסוכן ועדכן אותו ששוחח עם 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שהבטיח לו שהסוכן יקבל את הנשק בשעה </w:t>
      </w:r>
      <w:r>
        <w:rPr/>
        <w:t>22:00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ובתיאום עם נאשם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22:50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הגיע הסוכן לרחוב החלוצים בשכונת פרדס כץ בבני ברק והתקשר לנאשם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שאמר שהוא מגיע תוך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 xml:space="preserve">לאחר מספר דקות הגיע 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כאשר הוא רכוב על אופניים חשמליים והורה לסוכן לנסוע אחריו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הוביל את הסוכן לשביל עפר סמוך והורה לו לבוא רגלית אחריו</w:t>
      </w:r>
      <w:r>
        <w:rPr>
          <w:rtl w:val="true"/>
        </w:rPr>
        <w:t xml:space="preserve">. </w:t>
      </w:r>
      <w:r>
        <w:rPr>
          <w:rtl w:val="true"/>
        </w:rPr>
        <w:t>בסמוך אל השניים הייתה ערמת פסולת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כאשר ידיו מכוסות</w:t>
      </w:r>
      <w:r>
        <w:rPr>
          <w:rtl w:val="true"/>
        </w:rPr>
        <w:t xml:space="preserve">, </w:t>
      </w:r>
      <w:r>
        <w:rPr>
          <w:rtl w:val="true"/>
        </w:rPr>
        <w:t xml:space="preserve">פשפש בערימה והוציא ממנה אקדח חצי אוטומטי מסוג </w:t>
      </w:r>
      <w:r>
        <w:rPr/>
        <w:t>SIG SAUER</w:t>
      </w:r>
      <w:r>
        <w:rPr>
          <w:rtl w:val="true"/>
        </w:rPr>
        <w:t xml:space="preserve"> </w:t>
      </w:r>
      <w:r>
        <w:rPr>
          <w:rtl w:val="true"/>
        </w:rPr>
        <w:t>עם מחסנית מלאה 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 ומסר לסוכן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4.9.17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11:34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התקשר מישל ז</w:t>
      </w:r>
      <w:r>
        <w:rPr>
          <w:rtl w:val="true"/>
        </w:rPr>
        <w:t>'</w:t>
      </w:r>
      <w:r>
        <w:rPr>
          <w:rtl w:val="true"/>
        </w:rPr>
        <w:t xml:space="preserve">אנו אל הסוכן והאחרון עדכן אותו שקיבל את הנשק מנאשם </w:t>
      </w:r>
      <w:r>
        <w:rPr/>
        <w:t>6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 כאן עובדות כתב האישום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סוכם כי המאשימה תעתור לעונש של 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חודשים מאסר בפועל לצד רכיבי ענישה נלווים</w:t>
      </w:r>
      <w:r>
        <w:rPr>
          <w:rtl w:val="true"/>
        </w:rPr>
        <w:t xml:space="preserve">, </w:t>
      </w:r>
      <w:r>
        <w:rPr>
          <w:rtl w:val="true"/>
        </w:rPr>
        <w:t>ואילו ההגנה תהא חופשית בטיעוניה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טיעוני הצדדים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במסגרת טיעוניה לעונש</w:t>
      </w:r>
      <w:r>
        <w:rPr>
          <w:rtl w:val="true"/>
        </w:rPr>
        <w:t xml:space="preserve">, </w:t>
      </w:r>
      <w:r>
        <w:rPr>
          <w:rtl w:val="true"/>
        </w:rPr>
        <w:t>הפנתה לחומרת המעשים בהם הודה הנאשם</w:t>
      </w:r>
      <w:r>
        <w:rPr>
          <w:rtl w:val="true"/>
        </w:rPr>
        <w:t xml:space="preserve">. </w:t>
      </w:r>
      <w:r>
        <w:rPr>
          <w:rtl w:val="true"/>
        </w:rPr>
        <w:t>זו הדגישה כי התופעה של סחר בנשק טומנת בחובה סכנה לציבור ויכולה להפוך סכסוכים שגרתיים לאירועים עקובים מדם</w:t>
      </w:r>
      <w:r>
        <w:rPr>
          <w:rtl w:val="true"/>
        </w:rPr>
        <w:t xml:space="preserve">. </w:t>
      </w:r>
      <w:r>
        <w:rPr>
          <w:rtl w:val="true"/>
        </w:rPr>
        <w:t>נטען כי סחר בלתי חוקי מציב פיתוי כספי רב לצד סיכון מועט להיתפס</w:t>
      </w:r>
      <w:r>
        <w:rPr>
          <w:rtl w:val="true"/>
        </w:rPr>
        <w:t xml:space="preserve">. </w:t>
      </w:r>
      <w:r>
        <w:rPr>
          <w:rtl w:val="true"/>
        </w:rPr>
        <w:t xml:space="preserve">הלה ביקשה לתת את הדעת לכך שהנשק שהועבר בעסקה הינו אקדח חצי אוטומטי עם מחסנית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 התייחסה לעונשים אחרים שנגזרו במסגרת פרשה זו בהסבירה כי העונש לו היא עותרת עומד בהלימה גם עם עקרון אחידות הענישה</w:t>
      </w:r>
      <w:r>
        <w:rPr>
          <w:rtl w:val="true"/>
        </w:rPr>
        <w:t xml:space="preserve">. </w:t>
      </w:r>
      <w:r>
        <w:rPr>
          <w:rtl w:val="true"/>
        </w:rPr>
        <w:t xml:space="preserve">ביחס לכך פירטה כי הנאשם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שלו יוחסה עבירה של סיוע לסחר בסם מסוכן נדון ל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בפועל ואילו ביחס 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שהורשע בעבירה של סיוע לסחר בנשק הצדדים הגיעו להסדר לפיו זה ירצה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. </w:t>
      </w:r>
      <w:r>
        <w:rPr>
          <w:rtl w:val="true"/>
        </w:rPr>
        <w:t>מקום שבו העונש בגין סיוע הינו מחצית מהעונש בשל ביצועה העיקרי</w:t>
      </w:r>
      <w:r>
        <w:rPr>
          <w:rtl w:val="true"/>
        </w:rPr>
        <w:t xml:space="preserve">, </w:t>
      </w:r>
      <w:r>
        <w:rPr>
          <w:rtl w:val="true"/>
        </w:rPr>
        <w:t xml:space="preserve">או אז העונש לו עותרת המאשימה בעניינו של 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שהינו בעל עבר פלילי עשיר</w:t>
      </w:r>
      <w:r>
        <w:rPr>
          <w:rtl w:val="true"/>
        </w:rPr>
        <w:t xml:space="preserve">, </w:t>
      </w:r>
      <w:r>
        <w:rPr>
          <w:rtl w:val="true"/>
        </w:rPr>
        <w:t>לא רק עומד בקנה אחד עם עקרון אחידות הענישה אלא יש בו כדי להקל עימו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מנגד עתר שלא למצות עימו את הדין</w:t>
      </w:r>
      <w:r>
        <w:rPr>
          <w:rtl w:val="true"/>
        </w:rPr>
        <w:t xml:space="preserve">. </w:t>
      </w:r>
      <w:r>
        <w:rPr>
          <w:rtl w:val="true"/>
        </w:rPr>
        <w:t xml:space="preserve">ככל שהדבר נוגע לנסיבות ביצוע עבירה זה הפנה לכך שהנאשם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פעל כפי המתואר בכתב האישום לאחר שהופעלו עליו לחצים כבדים מצדו של האחר שהתקשר אליו עשרות פעמים במשך שלושה שבועות</w:t>
      </w:r>
      <w:r>
        <w:rPr>
          <w:rtl w:val="true"/>
        </w:rPr>
        <w:t xml:space="preserve">.  </w:t>
      </w:r>
      <w:r>
        <w:rPr>
          <w:rtl w:val="true"/>
        </w:rPr>
        <w:t>לא זו בלבד הרי שכל התקשורת נעשתה בין הסוכן לבין אותו אחר לרבות כל התיאומים המקדימים</w:t>
      </w:r>
      <w:r>
        <w:rPr>
          <w:rtl w:val="true"/>
        </w:rPr>
        <w:t xml:space="preserve">. </w:t>
      </w:r>
      <w:r>
        <w:rPr>
          <w:rtl w:val="true"/>
        </w:rPr>
        <w:t xml:space="preserve">לדברי הסנגור הסוכן אף מציין כי הנאשם מבחינתו </w:t>
      </w:r>
      <w:r>
        <w:rPr>
          <w:rtl w:val="true"/>
        </w:rPr>
        <w:t>"</w:t>
      </w:r>
      <w:r>
        <w:rPr>
          <w:rtl w:val="true"/>
        </w:rPr>
        <w:t>נכנס לתמונה</w:t>
      </w:r>
      <w:r>
        <w:rPr>
          <w:rtl w:val="true"/>
        </w:rPr>
        <w:t xml:space="preserve">" </w:t>
      </w:r>
      <w:r>
        <w:rPr>
          <w:rtl w:val="true"/>
        </w:rPr>
        <w:t>דקות ספורות לפני המפגש והקשר ביניהם מסתיים בסמוך לאחר מסירת האקדח</w:t>
      </w:r>
      <w:r>
        <w:rPr>
          <w:rtl w:val="true"/>
        </w:rPr>
        <w:t xml:space="preserve">. </w:t>
      </w:r>
      <w:r>
        <w:rPr>
          <w:rtl w:val="true"/>
        </w:rPr>
        <w:t>הנאשם לא היה יעד של הסוכן</w:t>
      </w:r>
      <w:r>
        <w:rPr>
          <w:rtl w:val="true"/>
        </w:rPr>
        <w:t xml:space="preserve">. </w:t>
      </w:r>
      <w:r>
        <w:rPr>
          <w:rtl w:val="true"/>
        </w:rPr>
        <w:t>הנאשם לא קיבל תמורה כספית עבור העברת הנשק ופעל כטובה עבור האחר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בא כוח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הוסיף כי שיקולי </w:t>
      </w:r>
      <w:r>
        <w:rPr>
          <w:rtl w:val="true"/>
        </w:rPr>
        <w:t>"</w:t>
      </w:r>
      <w:r>
        <w:rPr>
          <w:rtl w:val="true"/>
        </w:rPr>
        <w:t>אחידות ענישה</w:t>
      </w:r>
      <w:r>
        <w:rPr>
          <w:rtl w:val="true"/>
        </w:rPr>
        <w:t xml:space="preserve">" </w:t>
      </w:r>
      <w:r>
        <w:rPr>
          <w:rtl w:val="true"/>
        </w:rPr>
        <w:t xml:space="preserve">מחייבים כי עונשו של הנאשם בכל מקרה לא יהיה גבוה מעונשו של נאשם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נטען כי גם אם 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יוחסה עבירה של סיוע לסחר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מבחינה מהותית וכפי הנלמד מכתב האישום המתוקן מעשיו מגלמים עבירה חמורה בהרבה מזו שבה הורשע הנאשם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בהקשר לכך הסנגור הפנה לכך שבשונה מעניינו של נאשם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 יוזם העסקה</w:t>
      </w:r>
      <w:r>
        <w:rPr>
          <w:rtl w:val="true"/>
        </w:rPr>
        <w:t xml:space="preserve">, </w:t>
      </w:r>
      <w:r>
        <w:rPr>
          <w:rtl w:val="true"/>
        </w:rPr>
        <w:t xml:space="preserve">הוא זה שמתאם את המפגש עם הסוכן ואף מקבל לידיו את התמורה בסך </w:t>
      </w:r>
      <w:r>
        <w:rPr/>
        <w:t>6000</w:t>
      </w:r>
      <w:r>
        <w:rPr>
          <w:rtl w:val="true"/>
        </w:rPr>
        <w:t xml:space="preserve"> ₪. </w:t>
      </w:r>
      <w:r>
        <w:rPr>
          <w:rtl w:val="true"/>
        </w:rPr>
        <w:t xml:space="preserve">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עבר פלילי מכביד מזה של 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וכולל גם הרשעה בעבירות 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מצדו הביע צער על מעשיו</w:t>
      </w:r>
      <w:r>
        <w:rPr>
          <w:rtl w:val="true"/>
        </w:rPr>
        <w:t xml:space="preserve">. </w:t>
      </w:r>
      <w:r>
        <w:rPr>
          <w:rtl w:val="true"/>
        </w:rPr>
        <w:t xml:space="preserve">זה הוסיף כי הוא נמצא במעצר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במהלכם סיים קבוצה של שליטה בכעסים והחל בקבוצת טיפול חדשה כשברצונו לשקם את 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 והכרעה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בתיק זה  עניין לנו ב</w:t>
      </w:r>
      <w:r>
        <w:rPr>
          <w:rtl w:val="true"/>
        </w:rPr>
        <w:t>"</w:t>
      </w:r>
      <w:r>
        <w:rPr>
          <w:rtl w:val="true"/>
        </w:rPr>
        <w:t>הסדר טווח</w:t>
      </w:r>
      <w:r>
        <w:rPr>
          <w:rtl w:val="true"/>
        </w:rPr>
        <w:t xml:space="preserve">" </w:t>
      </w:r>
      <w:r>
        <w:rPr>
          <w:rtl w:val="true"/>
        </w:rPr>
        <w:t xml:space="preserve">כאשר המאשימה עותרת לעונש ראוי של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חודשים מאסר בפועל לצד ענישה נלווית ואילו ההגנה חופשיה בטיעוניה</w:t>
      </w:r>
      <w:r>
        <w:rPr>
          <w:rtl w:val="true"/>
        </w:rPr>
        <w:t xml:space="preserve">. </w:t>
      </w:r>
      <w:r>
        <w:rPr>
          <w:rtl w:val="true"/>
        </w:rPr>
        <w:t>כשזו תמונת הדברים</w:t>
      </w:r>
      <w:r>
        <w:rPr>
          <w:rtl w:val="true"/>
        </w:rPr>
        <w:t xml:space="preserve">, </w:t>
      </w:r>
      <w:r>
        <w:rPr>
          <w:rtl w:val="true"/>
        </w:rPr>
        <w:t>נשאלת אפוא השאלה האם יש מקום להידרש לקביעתו של מתחם עונש הולם עובר לגזירת עונשו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הגם שאין הסכמה כללית בפסיקה בנוגע לסוגיה זו</w:t>
      </w:r>
      <w:r>
        <w:rPr>
          <w:rtl w:val="true"/>
        </w:rPr>
        <w:t xml:space="preserve">, </w:t>
      </w:r>
      <w:r>
        <w:rPr>
          <w:rtl w:val="true"/>
        </w:rPr>
        <w:t>ניתן לומר כי על דרך הכלל בעת ש</w:t>
      </w:r>
      <w:r>
        <w:rPr>
          <w:rtl w:val="true"/>
        </w:rPr>
        <w:t>"</w:t>
      </w:r>
      <w:r>
        <w:rPr>
          <w:rtl w:val="true"/>
        </w:rPr>
        <w:t>הסדר הטווח</w:t>
      </w:r>
      <w:r>
        <w:rPr>
          <w:rtl w:val="true"/>
        </w:rPr>
        <w:t xml:space="preserve">" </w:t>
      </w:r>
      <w:r>
        <w:rPr>
          <w:rtl w:val="true"/>
        </w:rPr>
        <w:t>המוצג לבית המשפט נמצא בעיניו כסביר</w:t>
      </w:r>
      <w:r>
        <w:rPr>
          <w:rtl w:val="true"/>
        </w:rPr>
        <w:t xml:space="preserve">, </w:t>
      </w:r>
      <w:r>
        <w:rPr>
          <w:rtl w:val="true"/>
        </w:rPr>
        <w:t>אין מקום להידרש לקביעתם של מתחמים</w:t>
      </w:r>
      <w:r>
        <w:rPr>
          <w:rtl w:val="true"/>
        </w:rPr>
        <w:t xml:space="preserve">. </w:t>
      </w:r>
      <w:r>
        <w:rPr>
          <w:rtl w:val="true"/>
        </w:rPr>
        <w:t>על פי גישה זו קביעת מתחם עונש הולם תעשה רק בסיטואציה שבה בית משפט מוצא לחרוג מהטווח העונשי וכנימוק מדוע אין בהסכמה העונשית כדי לתת מענה לשיקולי ענישה שונים</w:t>
      </w:r>
      <w:r>
        <w:rPr>
          <w:rtl w:val="true"/>
        </w:rPr>
        <w:t xml:space="preserve">. </w:t>
      </w:r>
      <w:r>
        <w:rPr>
          <w:rtl w:val="true"/>
        </w:rPr>
        <w:t>בהקשר לכך</w:t>
      </w:r>
      <w:r>
        <w:rPr>
          <w:rtl w:val="true"/>
        </w:rPr>
        <w:t xml:space="preserve">, </w:t>
      </w:r>
      <w:r>
        <w:rPr>
          <w:rtl w:val="true"/>
        </w:rPr>
        <w:t>ראה בין היתר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512/13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4.12.13</w:t>
      </w:r>
      <w:r>
        <w:rPr>
          <w:rtl w:val="true"/>
        </w:rPr>
        <w:t xml:space="preserve">),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color w:val="0000FF"/>
            <w:u w:val="single"/>
          </w:rPr>
          <w:t>8109/15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אביטן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9.6.16</w:t>
      </w:r>
      <w:r>
        <w:rPr>
          <w:rtl w:val="true"/>
        </w:rPr>
        <w:t>), (</w:t>
      </w:r>
      <w:r>
        <w:rPr>
          <w:rtl w:val="true"/>
        </w:rPr>
        <w:t>דעתו של 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),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2524/15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שפרנוביץ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8.9.16</w:t>
      </w:r>
      <w:r>
        <w:rPr>
          <w:rtl w:val="true"/>
        </w:rPr>
        <w:t>) (</w:t>
      </w:r>
      <w:r>
        <w:rPr>
          <w:rtl w:val="true"/>
        </w:rPr>
        <w:t xml:space="preserve">פסקאות </w:t>
      </w:r>
      <w:r>
        <w:rPr/>
        <w:t>18-19</w:t>
      </w:r>
      <w:r>
        <w:rPr>
          <w:rFonts w:cs="Arial"/>
          <w:sz w:val="22"/>
          <w:szCs w:val="22"/>
          <w:rtl w:val="true"/>
        </w:rPr>
        <w:t xml:space="preserve"> </w:t>
      </w:r>
      <w:r>
        <w:rPr>
          <w:rtl w:val="true"/>
        </w:rPr>
        <w:t>לפסק הדין</w:t>
      </w:r>
      <w:r>
        <w:rPr>
          <w:rFonts w:cs="Arial"/>
          <w:sz w:val="22"/>
          <w:szCs w:val="22"/>
          <w:rtl w:val="true"/>
        </w:rPr>
        <w:t xml:space="preserve">),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6799/14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אופיר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16.3.15</w:t>
      </w:r>
      <w:r>
        <w:rPr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3.2.14</w:t>
      </w:r>
      <w:r>
        <w:rPr>
          <w:rtl w:val="true"/>
        </w:rPr>
        <w:t>)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ובית המשפט סבור כי טווח הענישה המוסכם בין הצדדים סביר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אדרש לקביעתו של מתחם עונש הולם וזאת הגם שבקביעת עונשו הסופי של הנאשם יילקחו בחשבון פרמטרים רבים אותם בית המשפט משקלל בקביעת מתחם שכזה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לגופם של דברים</w:t>
      </w:r>
      <w:r>
        <w:rPr>
          <w:rtl w:val="true"/>
        </w:rPr>
        <w:t xml:space="preserve">, </w:t>
      </w:r>
      <w:r>
        <w:rPr>
          <w:rtl w:val="true"/>
        </w:rPr>
        <w:t>במעשיו האמורים לעיל</w:t>
      </w:r>
      <w:r>
        <w:rPr>
          <w:rtl w:val="true"/>
        </w:rPr>
        <w:t xml:space="preserve">, </w:t>
      </w:r>
      <w:r>
        <w:rPr>
          <w:rtl w:val="true"/>
        </w:rPr>
        <w:t>פגע הנאשם בערך המוגן של הגנה על שלום הציבור וביטחונו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>עבירה זו טומנת בחובה סיכון רב  לפיו  יעשה שימוש בנשק הבלתי חוקי על ידי מחזיקו לצורך ביצוע עבירות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גם חשש שהנשק הבלתי חוקי יתגלגל לידיים עוינות העוסקות בפעילות פלילית או ביטחונית ויגרום לנזק רב עד כדי קיפוח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האמור ובאופן עקיף יש במעשיו של הנאשם גם כדי לפגוע בשלטון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חיזוק לכך ניתן גם ללמוד מעצם מיקום העבירה 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בפרק 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תחת</w:t>
        </w:r>
      </w:hyperlink>
      <w:r>
        <w:rPr>
          <w:rFonts w:ascii="Arial" w:hAnsi="Arial" w:cs="Arial"/>
          <w:rtl w:val="true"/>
        </w:rPr>
        <w:t xml:space="preserve"> הכותרת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פגיעה בסדרי המשטר והחברה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החומרה שיש לנקוט בעבירות נשק יפים דבריו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לוי 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5833/07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</w:rPr>
        <w:t>18.11.07</w:t>
      </w:r>
      <w:r>
        <w:rPr>
          <w:rFonts w:cs="Arial" w:ascii="Arial" w:hAnsi="Arial"/>
          <w:rtl w:val="true"/>
        </w:rPr>
        <w:t>):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ind w:start="567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סחר בנשק הוא תופעה מסוכנת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 בימינו 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הניסיון מלמד שנשק אשר מקורו מפוקפק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 שהוא יוצא מידי המחזיק 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 את דרכו לידיים עברייניות או למפגעים למיניהם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 אלה גם אלה כבר הוכיחו כי אין הם מהססים להשתמש בו גם במקומות סואנים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 כאשר ברור להם כי עלולים להיפגע מהירי אנשים תמימים שנקלעו לזירה בדרך מקרה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התרענו בעבר ונחזור ונתריע גם הפעם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כל החוטא בעבירות מסוג זה עלול להידרש לשלם מחיר 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 באובדן חירותו לתקופה ממושכת</w:t>
      </w:r>
      <w:r>
        <w:rPr>
          <w:b/>
          <w:bCs/>
          <w:rtl w:val="true"/>
        </w:rPr>
        <w:t>".</w:t>
      </w:r>
    </w:p>
    <w:p>
      <w:pPr>
        <w:pStyle w:val="Normal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8505" w:leader="none"/>
        </w:tabs>
        <w:spacing w:lineRule="auto" w:line="360"/>
        <w:ind w:end="0"/>
        <w:jc w:val="both"/>
        <w:rPr/>
      </w:pPr>
      <w:r>
        <w:rPr>
          <w:rtl w:val="true"/>
        </w:rPr>
        <w:t>וכן ב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9112/11</w:t>
        </w:r>
      </w:hyperlink>
      <w:r>
        <w:rPr>
          <w:rtl w:val="true"/>
        </w:rPr>
        <w:t xml:space="preserve"> </w:t>
      </w:r>
      <w:r>
        <w:rPr>
          <w:rtl w:val="true"/>
        </w:rPr>
        <w:t>פלוני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[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 דינו של 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] 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31.12.12</w:t>
      </w:r>
      <w:r>
        <w:rPr>
          <w:rtl w:val="true"/>
        </w:rPr>
        <w:t xml:space="preserve">) </w:t>
      </w:r>
      <w:r>
        <w:rPr>
          <w:rtl w:val="true"/>
        </w:rPr>
        <w:t>ציין בית המשפט כי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7938" w:leader="none"/>
        </w:tabs>
        <w:ind w:start="567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מכירת כלי נשק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מסכנת יותר את הציבור מאשר קנייתם</w:t>
      </w:r>
      <w:r>
        <w:rPr>
          <w:b/>
          <w:bCs/>
          <w:rtl w:val="true"/>
        </w:rPr>
        <w:t>" (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1121/11</w:t>
        </w:r>
      </w:hyperlink>
      <w:r>
        <w:rPr>
          <w:b/>
          <w:bCs/>
          <w:rtl w:val="true"/>
        </w:rPr>
        <w:t xml:space="preserve">   </w:t>
      </w:r>
      <w:r>
        <w:rPr>
          <w:b/>
          <w:b/>
          <w:bCs/>
          <w:sz w:val="28"/>
          <w:sz w:val="28"/>
          <w:rtl w:val="true"/>
        </w:rPr>
        <w:t>אזולאי 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מדינת ישראל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23.11.2011</w:t>
      </w:r>
      <w:r>
        <w:rPr>
          <w:b/>
          <w:bCs/>
          <w:rtl w:val="true"/>
        </w:rPr>
        <w:t xml:space="preserve">)), </w:t>
      </w:r>
      <w:r>
        <w:rPr>
          <w:b/>
          <w:b/>
          <w:bCs/>
          <w:rtl w:val="true"/>
        </w:rPr>
        <w:t>ואין ספק כי פוטנציאל הנזק שיש המלווה את הסיכון האמור צריך לקבל ביטוי בעונש הנגזר על החוטא בביצוע העבירות האמורות</w:t>
      </w:r>
      <w:r>
        <w:rPr>
          <w:b/>
          <w:bCs/>
          <w:rtl w:val="true"/>
        </w:rPr>
        <w:t>.</w:t>
      </w:r>
    </w:p>
    <w:p>
      <w:pPr>
        <w:pStyle w:val="Normal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לפסיקה הנוהגת</w:t>
      </w:r>
      <w:r>
        <w:rPr>
          <w:rtl w:val="true"/>
        </w:rPr>
        <w:t xml:space="preserve">, </w:t>
      </w:r>
      <w:r>
        <w:rPr>
          <w:rtl w:val="true"/>
        </w:rPr>
        <w:t>ובטרם זו תפורט</w:t>
      </w:r>
      <w:r>
        <w:rPr>
          <w:rtl w:val="true"/>
        </w:rPr>
        <w:t xml:space="preserve">, </w:t>
      </w:r>
      <w:r>
        <w:rPr>
          <w:rtl w:val="true"/>
        </w:rPr>
        <w:t>שתי הערות מקדימות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בדומה לעבירות רבות בקודקס הפלילי גם בעבירות בהן הורשע הנאשם ניתן למצוא משרעת רחבה ביותר של עונשים</w:t>
      </w:r>
      <w:r>
        <w:rPr>
          <w:rtl w:val="true"/>
        </w:rPr>
        <w:t xml:space="preserve">. </w:t>
      </w:r>
      <w:r>
        <w:rPr>
          <w:rtl w:val="true"/>
        </w:rPr>
        <w:t>על דרך הכלל בתי המשפט שתים לבם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כמות הנשק</w:t>
      </w:r>
      <w:r>
        <w:rPr>
          <w:rtl w:val="true"/>
        </w:rPr>
        <w:t xml:space="preserve">, </w:t>
      </w:r>
      <w:r>
        <w:rPr>
          <w:rtl w:val="true"/>
        </w:rPr>
        <w:t>סוגו</w:t>
      </w:r>
      <w:r>
        <w:rPr>
          <w:rtl w:val="true"/>
        </w:rPr>
        <w:t xml:space="preserve">, </w:t>
      </w:r>
      <w:r>
        <w:rPr>
          <w:rtl w:val="true"/>
        </w:rPr>
        <w:t>האם נעשה בו שימוש לרבות עבירות פליליות נלוות וכן יתר הנסיבות האופפות את האירוע</w:t>
      </w:r>
      <w:r>
        <w:rPr>
          <w:rtl w:val="true"/>
        </w:rPr>
        <w:t>.</w:t>
      </w:r>
    </w:p>
    <w:p>
      <w:pPr>
        <w:pStyle w:val="Normal"/>
        <w:ind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הערה שנייה נוגעת לכך שהפסיקה הנוהגת מהווה אך פרמטר אחד שעל בית המשפט לקחתו בחשבון כחלק ממכלול שיקולים עובר לקביעת מתחם העונש ההולם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4910/16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>] 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5.4.17</w:t>
      </w:r>
      <w:r>
        <w:rPr>
          <w:rtl w:val="true"/>
        </w:rPr>
        <w:t>).</w:t>
      </w:r>
    </w:p>
    <w:p>
      <w:pPr>
        <w:pStyle w:val="Normal"/>
        <w:ind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u w:val="single"/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3804/10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אמג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ד נעאמנה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 xml:space="preserve">מדינת ישראל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פורסם בנבו</w:t>
      </w:r>
      <w:r>
        <w:rPr>
          <w:u w:val="single"/>
          <w:rtl w:val="true"/>
        </w:rPr>
        <w:t xml:space="preserve">, </w:t>
      </w:r>
      <w:r>
        <w:rPr>
          <w:u w:val="single"/>
        </w:rPr>
        <w:t>26.12.10</w:t>
      </w:r>
      <w:r>
        <w:rPr>
          <w:u w:val="single"/>
          <w:rtl w:val="true"/>
        </w:rPr>
        <w:t>)</w:t>
      </w:r>
      <w:r>
        <w:rPr>
          <w:rtl w:val="true"/>
        </w:rPr>
        <w:t xml:space="preserve">- </w:t>
      </w:r>
      <w:r>
        <w:rPr>
          <w:rtl w:val="true"/>
        </w:rPr>
        <w:t>נדחה ערעורו של נאשם  אשר הורשע על סמך הודאתו בעבירה של החזקת נשק וסחר בנשק בכך שמכר אקדחים דמויי עט לסוכן משטרתי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המחוזי גזר על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בפועל על אף גילו הצעיר ועברו הנקי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3138/11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עפיף הייבי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פןרסם בנבו</w:t>
      </w:r>
      <w:r>
        <w:rPr>
          <w:u w:val="single"/>
          <w:rtl w:val="true"/>
        </w:rPr>
        <w:t xml:space="preserve">, </w:t>
      </w:r>
      <w:r>
        <w:rPr>
          <w:u w:val="single"/>
        </w:rPr>
        <w:t>6.3.12</w:t>
      </w:r>
      <w:r>
        <w:rPr>
          <w:u w:val="single"/>
          <w:rtl w:val="true"/>
        </w:rPr>
        <w:t>)</w:t>
      </w:r>
      <w:r>
        <w:rPr>
          <w:rtl w:val="true"/>
        </w:rPr>
        <w:t xml:space="preserve">- </w:t>
      </w:r>
      <w:r>
        <w:rPr>
          <w:rtl w:val="true"/>
        </w:rPr>
        <w:t xml:space="preserve">נדון עניינו של מערער שנגזרו עליו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 מאסר בפועל בגין ביצוע עבירה של קשירת קשר לפשע וניסיון לסחר בנשק</w:t>
      </w:r>
      <w:r>
        <w:rPr>
          <w:rtl w:val="true"/>
        </w:rPr>
        <w:t xml:space="preserve">. </w:t>
      </w:r>
      <w:r>
        <w:rPr>
          <w:rtl w:val="true"/>
        </w:rPr>
        <w:t>המדובר במערער שקשר קשר עם אחר למכור נשק מסוג אקדח תופי לסוכן משטרתי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Times New Roman"/>
        </w:rPr>
      </w:pPr>
      <w:r>
        <w:rPr>
          <w:rFonts w:ascii="Calibri" w:hAnsi="Calibri" w:cs="Calibri"/>
          <w:u w:val="single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7552/14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יוסף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אגבאריה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פורסם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באר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ש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23.6.15</w:t>
      </w:r>
      <w:r>
        <w:rPr>
          <w:rFonts w:cs="Calibri" w:ascii="Calibri" w:hAnsi="Calibri"/>
          <w:u w:val="single"/>
          <w:rtl w:val="true"/>
        </w:rPr>
        <w:t>)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בצוותא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1768/14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בהא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גנאיים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פורסם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באר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ש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22.7.14</w:t>
      </w:r>
      <w:r>
        <w:rPr>
          <w:rFonts w:cs="Calibri" w:ascii="Calibri" w:hAnsi="Calibri"/>
          <w:u w:val="single"/>
          <w:rtl w:val="true"/>
        </w:rPr>
        <w:t>)-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 w:ascii="Calibri" w:hAnsi="Calibri"/>
        </w:rPr>
        <w:t>M-16</w:t>
      </w:r>
      <w:r>
        <w:rPr>
          <w:rFonts w:cs="Times New Roman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  <w:t>מידת הפגיעה של הנאשם בערכים המוגנים נמצאת במדרג בינוני</w:t>
      </w:r>
      <w:r>
        <w:rPr>
          <w:rtl w:val="true"/>
        </w:rPr>
        <w:t xml:space="preserve">. </w:t>
      </w:r>
      <w:r>
        <w:rPr>
          <w:rtl w:val="true"/>
        </w:rPr>
        <w:t xml:space="preserve">לחומרה יש לתת את הדעת לכך שמדובר באקדח חצי אוטומטי מסוג </w:t>
      </w:r>
      <w:r>
        <w:rPr/>
        <w:t>SIG SAUER</w:t>
      </w:r>
      <w:r>
        <w:rPr>
          <w:rtl w:val="true"/>
        </w:rPr>
        <w:t xml:space="preserve"> </w:t>
      </w:r>
      <w:r>
        <w:rPr>
          <w:rtl w:val="true"/>
        </w:rPr>
        <w:t>יחד עם מחסנית מלאה 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המדובר בנשק קטלני שמועבר לסוכן יחד עם מחסנית וכדורים</w:t>
      </w:r>
      <w:r>
        <w:rPr>
          <w:rtl w:val="true"/>
        </w:rPr>
        <w:t xml:space="preserve">, </w:t>
      </w:r>
      <w:r>
        <w:rPr>
          <w:rtl w:val="true"/>
        </w:rPr>
        <w:t>מוכן לפעולה</w:t>
      </w:r>
      <w:r>
        <w:rPr>
          <w:rtl w:val="true"/>
        </w:rPr>
        <w:t xml:space="preserve">. </w:t>
      </w:r>
      <w:r>
        <w:rPr>
          <w:rtl w:val="true"/>
        </w:rPr>
        <w:t>המדובר בנשק שהוסלק ברשות הרבים בתוך ערימת פסולת</w:t>
      </w:r>
      <w:r>
        <w:rPr>
          <w:rtl w:val="true"/>
        </w:rPr>
        <w:t xml:space="preserve">. </w:t>
      </w:r>
      <w:r>
        <w:rPr>
          <w:rtl w:val="true"/>
        </w:rPr>
        <w:t>הטמנתו ברשות הרבים נועדה להקשות על שיוכו לנאשם במידה וימצא ומגדילה את הסיכון הפוטנציאלי שזה ימצא בטעות על ידי עובר אורח תמים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  <w:t>הנאשם מוציא את הנשק כשהוא עוטה על ידיו כיסוי וזאת יש להניח על מנת למנוע הותרת טביעת אצבע או די</w:t>
      </w:r>
      <w:r>
        <w:rPr>
          <w:rtl w:val="true"/>
        </w:rPr>
        <w:t>.</w:t>
      </w:r>
      <w:r>
        <w:rPr>
          <w:rtl w:val="true"/>
        </w:rPr>
        <w:t>אן</w:t>
      </w:r>
      <w:r>
        <w:rPr>
          <w:rtl w:val="true"/>
        </w:rPr>
        <w:t>.</w:t>
      </w:r>
      <w:r>
        <w:rPr>
          <w:rtl w:val="true"/>
        </w:rPr>
        <w:t>אי</w:t>
      </w:r>
      <w:r>
        <w:rPr>
          <w:rtl w:val="true"/>
        </w:rPr>
        <w:t xml:space="preserve">. </w:t>
      </w:r>
      <w:r>
        <w:rPr>
          <w:rtl w:val="true"/>
        </w:rPr>
        <w:t>על הנשק</w:t>
      </w:r>
      <w:r>
        <w:rPr>
          <w:rtl w:val="true"/>
        </w:rPr>
        <w:t xml:space="preserve">. </w:t>
      </w:r>
      <w:r>
        <w:rPr>
          <w:rtl w:val="true"/>
        </w:rPr>
        <w:t>המדובר בהתנהלות המלמדת על מי שסיגל לעצמו דפוסי התנהלות עברייניים</w:t>
      </w:r>
      <w:r>
        <w:rPr>
          <w:rtl w:val="true"/>
        </w:rPr>
        <w:t xml:space="preserve">. </w:t>
      </w:r>
      <w:r>
        <w:rPr>
          <w:rtl w:val="true"/>
        </w:rPr>
        <w:t xml:space="preserve">העובדה כי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נוטל חלק בעסקה שבה נמסר נשק לאדם שהוא כלל אינו מכירו</w:t>
      </w:r>
      <w:r>
        <w:rPr>
          <w:rtl w:val="true"/>
        </w:rPr>
        <w:t>, (</w:t>
      </w:r>
      <w:r>
        <w:rPr>
          <w:rtl w:val="true"/>
        </w:rPr>
        <w:t>תוך אדישות לעתיד להיעשות באמצעות אותו נשק</w:t>
      </w:r>
      <w:r>
        <w:rPr>
          <w:rtl w:val="true"/>
        </w:rPr>
        <w:t xml:space="preserve">), </w:t>
      </w:r>
      <w:r>
        <w:rPr>
          <w:rtl w:val="true"/>
        </w:rPr>
        <w:t>מלמדת אף היא על אופיו של הנאשם ופועלת לחובתו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  <w:t>הנאשם פועל בהוראתו של מישל ז</w:t>
      </w:r>
      <w:r>
        <w:rPr>
          <w:rtl w:val="true"/>
        </w:rPr>
        <w:t>'</w:t>
      </w:r>
      <w:r>
        <w:rPr>
          <w:rtl w:val="true"/>
        </w:rPr>
        <w:t>אנו שהינו אסיר בכלא</w:t>
      </w:r>
      <w:r>
        <w:rPr>
          <w:rtl w:val="true"/>
        </w:rPr>
        <w:t xml:space="preserve">. </w:t>
      </w:r>
      <w:r>
        <w:rPr>
          <w:rtl w:val="true"/>
        </w:rPr>
        <w:t xml:space="preserve">נתון זה מחד יש בו להקל עם הנאשם </w:t>
      </w:r>
      <w:r>
        <w:rPr>
          <w:rtl w:val="true"/>
        </w:rPr>
        <w:t>(</w:t>
      </w:r>
      <w:r>
        <w:rPr>
          <w:rtl w:val="true"/>
        </w:rPr>
        <w:t>כפי שיפורט בהמשך</w:t>
      </w:r>
      <w:r>
        <w:rPr>
          <w:rtl w:val="true"/>
        </w:rPr>
        <w:t xml:space="preserve">)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 xml:space="preserve">ולשלב זה בגזר הדין יש בנתון זה לפעול גם לחובתו וזאת בשים לב לכך שבמעשיו אלה </w:t>
      </w:r>
      <w:r>
        <w:rPr>
          <w:rtl w:val="true"/>
        </w:rPr>
        <w:t xml:space="preserve">, </w:t>
      </w:r>
      <w:r>
        <w:rPr>
          <w:rtl w:val="true"/>
        </w:rPr>
        <w:t>הוא מאפשר לעבריינים לפעול מתוך הכלא</w:t>
      </w:r>
      <w:r>
        <w:rPr>
          <w:rtl w:val="true"/>
        </w:rPr>
        <w:t xml:space="preserve">, </w:t>
      </w:r>
      <w:r>
        <w:rPr>
          <w:rtl w:val="true"/>
        </w:rPr>
        <w:t>משל לא היה מאחורי כתלים</w:t>
      </w:r>
      <w:r>
        <w:rPr>
          <w:rtl w:val="true"/>
        </w:rPr>
        <w:t xml:space="preserve">, </w:t>
      </w:r>
      <w:r>
        <w:rPr>
          <w:rtl w:val="true"/>
        </w:rPr>
        <w:t>ובכך לחתור תחת התכלית של הרחקתם מהחברה על מנת להגן מפני מעשיהם הרעים</w:t>
      </w:r>
      <w:r>
        <w:rPr>
          <w:rtl w:val="true"/>
        </w:rPr>
        <w:t xml:space="preserve">.  </w:t>
      </w:r>
      <w:r>
        <w:rPr>
          <w:rtl w:val="true"/>
        </w:rPr>
        <w:t>עוד יש במעשים אלו מבחינה פוטנציאלית כדי ל</w:t>
      </w:r>
      <w:r>
        <w:rPr>
          <w:rtl w:val="true"/>
        </w:rPr>
        <w:t>"</w:t>
      </w:r>
      <w:r>
        <w:rPr>
          <w:rtl w:val="true"/>
        </w:rPr>
        <w:t>העלות את קרנו</w:t>
      </w:r>
      <w:r>
        <w:rPr>
          <w:rtl w:val="true"/>
        </w:rPr>
        <w:t xml:space="preserve">" </w:t>
      </w:r>
      <w:r>
        <w:rPr>
          <w:rtl w:val="true"/>
        </w:rPr>
        <w:t>של אותו אסיר בתוך הכלא באשר זה נתפס כבעל יכולת השפעה רבה גם מחוץ לכלא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  <w:t>מנגד ולקולא</w:t>
      </w:r>
      <w:r>
        <w:rPr>
          <w:rtl w:val="true"/>
        </w:rPr>
        <w:t xml:space="preserve">, </w:t>
      </w:r>
      <w:r>
        <w:rPr>
          <w:rtl w:val="true"/>
        </w:rPr>
        <w:t>הנאשם אינו היוזם של אותה עסקה</w:t>
      </w:r>
      <w:r>
        <w:rPr>
          <w:rtl w:val="true"/>
        </w:rPr>
        <w:t xml:space="preserve">. </w:t>
      </w:r>
      <w:r>
        <w:rPr>
          <w:rtl w:val="true"/>
        </w:rPr>
        <w:t>הנאשם פעל רק לאחר שנעשו עימו עשרות שיחות שנפרסו על פני תקופה של שלושה שבועות</w:t>
      </w:r>
      <w:r>
        <w:rPr>
          <w:rtl w:val="true"/>
        </w:rPr>
        <w:t xml:space="preserve">. </w:t>
      </w:r>
      <w:r>
        <w:rPr>
          <w:rtl w:val="true"/>
        </w:rPr>
        <w:t>הנאשם לא היה יעד של הסוכן</w:t>
      </w:r>
      <w:r>
        <w:rPr>
          <w:rtl w:val="true"/>
        </w:rPr>
        <w:t xml:space="preserve">, </w:t>
      </w:r>
      <w:r>
        <w:rPr>
          <w:rtl w:val="true"/>
        </w:rPr>
        <w:t>הנאשם  תיאם מולו את פרטי העסקה</w:t>
      </w:r>
      <w:r>
        <w:rPr>
          <w:rtl w:val="true"/>
        </w:rPr>
        <w:t xml:space="preserve">. </w:t>
      </w:r>
      <w:r>
        <w:rPr>
          <w:rtl w:val="true"/>
        </w:rPr>
        <w:t>הנאשם לא קיבל כל תמורה בגין העברת הנשק</w:t>
      </w:r>
      <w:r>
        <w:rPr>
          <w:rtl w:val="true"/>
        </w:rPr>
        <w:t xml:space="preserve">. </w:t>
      </w:r>
      <w:r>
        <w:rPr>
          <w:rtl w:val="true"/>
        </w:rPr>
        <w:t>בסופם של דברים הנשק לא התגלגל לידיים עברייניות אלא נמסר לסוכן שפעל בחסות המשטרה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  <w:t xml:space="preserve">אשר </w:t>
      </w:r>
      <w:r>
        <w:rPr>
          <w:u w:val="single"/>
          <w:rtl w:val="true"/>
        </w:rPr>
        <w:t>לנסיבות שאינן קשורות בביצוע העבירה</w:t>
      </w:r>
      <w:r>
        <w:rPr>
          <w:rtl w:val="true"/>
        </w:rPr>
        <w:t xml:space="preserve"> ולקולא תילקח בחשבון הודאת הנאשם</w:t>
      </w:r>
      <w:r>
        <w:rPr>
          <w:rtl w:val="true"/>
        </w:rPr>
        <w:t xml:space="preserve">, </w:t>
      </w:r>
      <w:r>
        <w:rPr>
          <w:rtl w:val="true"/>
        </w:rPr>
        <w:t>הודאה שיש בה חיסכון בזמן שיפוטי יקר ובעקיפין גם הבעת חרטה ונטילת אחריות</w:t>
      </w:r>
      <w:r>
        <w:rPr>
          <w:rtl w:val="true"/>
        </w:rPr>
        <w:t xml:space="preserve">, </w:t>
      </w:r>
      <w:r>
        <w:rPr>
          <w:rtl w:val="true"/>
        </w:rPr>
        <w:t>כפי שהדברים מצאו ביטוי מפיו של הנאשם בדבריו לעונש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  <w:t xml:space="preserve">מנגד ולחומרא יש לתת משקל לעברו הפלילי של הנאשם הכולל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 קודמות במגוון עבירות בכלל זאת ריצוי עונשי מאסר בפועל לצד ענישה צופה פני עתיד</w:t>
      </w:r>
      <w:r>
        <w:rPr>
          <w:rtl w:val="true"/>
        </w:rPr>
        <w:t xml:space="preserve">. </w:t>
      </w:r>
      <w:r>
        <w:rPr>
          <w:rtl w:val="true"/>
        </w:rPr>
        <w:t>משקלו של עבר פלילי זה יתמתן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לכך שלמעט שתי הרשעות משנת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 xml:space="preserve">שאר עברו הפלילי הינו בגין מעשים מלפני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 ויותר</w:t>
      </w:r>
      <w:r>
        <w:rPr>
          <w:rtl w:val="true"/>
        </w:rPr>
        <w:t xml:space="preserve">, </w:t>
      </w:r>
      <w:r>
        <w:rPr>
          <w:rtl w:val="true"/>
        </w:rPr>
        <w:t>כשמרביתו מבימ</w:t>
      </w:r>
      <w:r>
        <w:rPr>
          <w:rtl w:val="true"/>
        </w:rPr>
        <w:t>"</w:t>
      </w:r>
      <w:r>
        <w:rPr>
          <w:rtl w:val="true"/>
        </w:rPr>
        <w:t>ש לנוער</w:t>
      </w:r>
      <w:r>
        <w:rPr>
          <w:rtl w:val="true"/>
        </w:rPr>
        <w:t xml:space="preserve">. </w:t>
      </w:r>
      <w:r>
        <w:rPr>
          <w:rtl w:val="true"/>
        </w:rPr>
        <w:t>עבר פלילי זה מחייב מתן משקל</w:t>
      </w:r>
      <w:r>
        <w:rPr>
          <w:rtl w:val="true"/>
        </w:rPr>
        <w:t xml:space="preserve">, </w:t>
      </w:r>
      <w:r>
        <w:rPr>
          <w:rtl w:val="true"/>
        </w:rPr>
        <w:t>גם אם לא מכריע</w:t>
      </w:r>
      <w:r>
        <w:rPr>
          <w:rtl w:val="true"/>
        </w:rPr>
        <w:t xml:space="preserve">, </w:t>
      </w:r>
      <w:r>
        <w:rPr>
          <w:rtl w:val="true"/>
        </w:rPr>
        <w:t>לשיקולי הרתעת היחיד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  <w:t>עוד ולחומרה יש לתת משקל לא מבוטל לשיקולי הרתעת הרבים</w:t>
      </w:r>
      <w:r>
        <w:rPr>
          <w:rtl w:val="true"/>
        </w:rPr>
        <w:t xml:space="preserve">, </w:t>
      </w:r>
      <w:r>
        <w:rPr>
          <w:rtl w:val="true"/>
        </w:rPr>
        <w:t>נוכח נפוצותן של עבירות בהן זה הורשע</w:t>
      </w:r>
      <w:r>
        <w:rPr>
          <w:rtl w:val="true"/>
        </w:rPr>
        <w:t xml:space="preserve">. </w:t>
      </w:r>
      <w:r>
        <w:rPr>
          <w:rtl w:val="true"/>
        </w:rPr>
        <w:t>לדאבוננו</w:t>
      </w:r>
      <w:r>
        <w:rPr>
          <w:rtl w:val="true"/>
        </w:rPr>
        <w:t xml:space="preserve">, </w:t>
      </w:r>
      <w:r>
        <w:rPr>
          <w:rtl w:val="true"/>
        </w:rPr>
        <w:t>חדשות לבקרים מובאים לפתחו של ביהמ</w:t>
      </w:r>
      <w:r>
        <w:rPr>
          <w:rtl w:val="true"/>
        </w:rPr>
        <w:t>"</w:t>
      </w:r>
      <w:r>
        <w:rPr>
          <w:rtl w:val="true"/>
        </w:rPr>
        <w:t>ש לא רק עבירות הנוגעות להחזקה וסחר בנשק</w:t>
      </w:r>
      <w:r>
        <w:rPr>
          <w:rtl w:val="true"/>
        </w:rPr>
        <w:t xml:space="preserve">, </w:t>
      </w:r>
      <w:r>
        <w:rPr>
          <w:rtl w:val="true"/>
        </w:rPr>
        <w:t>אלא גם התוצאות הנלוות לעבירות אלו</w:t>
      </w:r>
      <w:r>
        <w:rPr>
          <w:rtl w:val="true"/>
        </w:rPr>
        <w:t xml:space="preserve">, </w:t>
      </w:r>
      <w:r>
        <w:rPr>
          <w:rtl w:val="true"/>
        </w:rPr>
        <w:t>בדגש על סכסוכים בהם נעשה שימוש בנשק בלתי חוקי</w:t>
      </w:r>
      <w:r>
        <w:rPr>
          <w:rtl w:val="true"/>
        </w:rPr>
        <w:t xml:space="preserve">, </w:t>
      </w:r>
      <w:r>
        <w:rPr>
          <w:rtl w:val="true"/>
        </w:rPr>
        <w:t>תוך גרימת חבלות קשות ואף קיפוח חיי אדם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  <w:t>בתיק זה לא הוגש תסקיר מאת שירות המבחן ואף הצדדים לא טרחו להאיר את עיני ביהמ</w:t>
      </w:r>
      <w:r>
        <w:rPr>
          <w:rtl w:val="true"/>
        </w:rPr>
        <w:t>"</w:t>
      </w:r>
      <w:r>
        <w:rPr>
          <w:rtl w:val="true"/>
        </w:rPr>
        <w:t>ש בנוגע לנסיבות חייו של הנאשם וקורותיו</w:t>
      </w:r>
      <w:r>
        <w:rPr>
          <w:rtl w:val="true"/>
        </w:rPr>
        <w:t xml:space="preserve">. </w:t>
      </w:r>
      <w:r>
        <w:rPr>
          <w:rtl w:val="true"/>
        </w:rPr>
        <w:t>העדרו של תסקיר</w:t>
      </w:r>
      <w:r>
        <w:rPr>
          <w:rtl w:val="true"/>
        </w:rPr>
        <w:t xml:space="preserve">, </w:t>
      </w:r>
      <w:r>
        <w:rPr>
          <w:rtl w:val="true"/>
        </w:rPr>
        <w:t>מקשה גם על הצבעה קונקרטית של נזקקות טיפולית או הערכת מסוכנות להישנות התנהגות פורצת חוק בעתיד</w:t>
      </w:r>
      <w:r>
        <w:rPr>
          <w:rtl w:val="true"/>
        </w:rPr>
        <w:t xml:space="preserve">. </w:t>
      </w:r>
      <w:r>
        <w:rPr>
          <w:rtl w:val="true"/>
        </w:rPr>
        <w:t>בין כך ובין כך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אין לדבר על הליכי שיקום בגינם יש למקם את עונשו של הנאשם נמוך יותר בטווח העונשי המוסכם </w:t>
      </w:r>
      <w:r>
        <w:rPr>
          <w:rtl w:val="true"/>
        </w:rPr>
        <w:t>(</w:t>
      </w:r>
      <w:r>
        <w:rPr>
          <w:rtl w:val="true"/>
        </w:rPr>
        <w:t>חרף דברי הנאשם בדבר שילובו בקבוצה טיפולית במעצר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555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שיקולי אחידות הענישה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כאמור ההגנה סבורה כי בשל שיקולי </w:t>
      </w:r>
      <w:r>
        <w:rPr>
          <w:rtl w:val="true"/>
        </w:rPr>
        <w:t>"</w:t>
      </w:r>
      <w:r>
        <w:rPr>
          <w:rtl w:val="true"/>
        </w:rPr>
        <w:t>אחידות הענישה</w:t>
      </w:r>
      <w:r>
        <w:rPr>
          <w:rtl w:val="true"/>
        </w:rPr>
        <w:t xml:space="preserve">", </w:t>
      </w:r>
      <w:r>
        <w:rPr>
          <w:rtl w:val="true"/>
        </w:rPr>
        <w:t xml:space="preserve">ובשים לב לעונש המוסכם בעניינו של נאשם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עונשו של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לא אמור לעלות על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המאשימה מנגד</w:t>
      </w:r>
      <w:r>
        <w:rPr>
          <w:rtl w:val="true"/>
        </w:rPr>
        <w:t xml:space="preserve">, </w:t>
      </w:r>
      <w:r>
        <w:rPr>
          <w:rtl w:val="true"/>
        </w:rPr>
        <w:t>סבורה מאותם טעמים ממש</w:t>
      </w:r>
      <w:r>
        <w:rPr>
          <w:rtl w:val="true"/>
        </w:rPr>
        <w:t xml:space="preserve">, </w:t>
      </w:r>
      <w:r>
        <w:rPr>
          <w:rtl w:val="true"/>
        </w:rPr>
        <w:t>על רקע השוני בהוראת החיקוק</w:t>
      </w:r>
      <w:r>
        <w:rPr>
          <w:rtl w:val="true"/>
        </w:rPr>
        <w:t xml:space="preserve">, </w:t>
      </w:r>
      <w:r>
        <w:rPr>
          <w:rtl w:val="true"/>
        </w:rPr>
        <w:t>שיש לאמץ את הרף לו היא עותרת</w:t>
      </w:r>
      <w:r>
        <w:rPr>
          <w:rtl w:val="true"/>
        </w:rPr>
        <w:t xml:space="preserve">, </w:t>
      </w:r>
      <w:r>
        <w:rPr>
          <w:rtl w:val="true"/>
        </w:rPr>
        <w:t>כאשר גם אז לשיטתה מדובר בעונש הנוטה 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במחלוקת שבין הצדדים סבורני כי יש לתת משקל לשיקולי אחידות הענישה</w:t>
      </w:r>
      <w:r>
        <w:rPr>
          <w:rtl w:val="true"/>
        </w:rPr>
        <w:t xml:space="preserve">, </w:t>
      </w:r>
      <w:r>
        <w:rPr>
          <w:rtl w:val="true"/>
        </w:rPr>
        <w:t>אם כי בנסיבותיו של תיק זה</w:t>
      </w:r>
      <w:r>
        <w:rPr>
          <w:rtl w:val="true"/>
        </w:rPr>
        <w:t xml:space="preserve">, </w:t>
      </w:r>
      <w:r>
        <w:rPr>
          <w:rtl w:val="true"/>
        </w:rPr>
        <w:t>הדבר יעשה במשורה וזאת מן הטעמים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עקרון </w:t>
      </w:r>
      <w:r>
        <w:rPr>
          <w:rtl w:val="true"/>
        </w:rPr>
        <w:t>"</w:t>
      </w:r>
      <w:r>
        <w:rPr>
          <w:rtl w:val="true"/>
        </w:rPr>
        <w:t>אחידות הענישה</w:t>
      </w:r>
      <w:r>
        <w:rPr>
          <w:rtl w:val="true"/>
        </w:rPr>
        <w:t xml:space="preserve">" </w:t>
      </w:r>
      <w:r>
        <w:rPr>
          <w:rtl w:val="true"/>
        </w:rPr>
        <w:t>קובע כי ככלל</w:t>
      </w:r>
      <w:r>
        <w:rPr>
          <w:rtl w:val="true"/>
        </w:rPr>
        <w:t xml:space="preserve">, </w:t>
      </w:r>
      <w:r>
        <w:rPr>
          <w:rtl w:val="true"/>
        </w:rPr>
        <w:t>על נאשמים אשר הואשמו בכתבי אישום דומים</w:t>
      </w:r>
      <w:r>
        <w:rPr>
          <w:rtl w:val="true"/>
        </w:rPr>
        <w:t xml:space="preserve">, </w:t>
      </w:r>
      <w:r>
        <w:rPr>
          <w:rtl w:val="true"/>
        </w:rPr>
        <w:t>לא כל שכן באותו כתב אישום</w:t>
      </w:r>
      <w:r>
        <w:rPr>
          <w:rtl w:val="true"/>
        </w:rPr>
        <w:t xml:space="preserve">, </w:t>
      </w:r>
      <w:r>
        <w:rPr>
          <w:rtl w:val="true"/>
        </w:rPr>
        <w:t>ובנסיבות דומות</w:t>
      </w:r>
      <w:r>
        <w:rPr>
          <w:rtl w:val="true"/>
        </w:rPr>
        <w:t xml:space="preserve">, </w:t>
      </w:r>
      <w:r>
        <w:rPr>
          <w:rtl w:val="true"/>
        </w:rPr>
        <w:t>יש לגזור עונשים דומים</w:t>
      </w:r>
      <w:r>
        <w:rPr>
          <w:rtl w:val="true"/>
        </w:rPr>
        <w:t xml:space="preserve">. </w:t>
      </w:r>
      <w:r>
        <w:rPr>
          <w:rtl w:val="true"/>
        </w:rPr>
        <w:t xml:space="preserve">עקרון זה נובע ונגזר למעשה מעקרון השוויון בפני החוק </w:t>
      </w:r>
      <w:r>
        <w:rPr>
          <w:rtl w:val="true"/>
        </w:rPr>
        <w:t>(</w:t>
      </w:r>
      <w:r>
        <w:rPr>
          <w:rtl w:val="true"/>
        </w:rPr>
        <w:t>ראה 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1307/15</w:t>
      </w:r>
      <w:r>
        <w:rPr>
          <w:rtl w:val="true"/>
        </w:rPr>
        <w:t xml:space="preserve">‏‏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וזאנה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44504/11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במישור העקרוני מקובלים על בית המשפט דברי הסנגור לפיהם בבואו של בית משפט לגזור עונשו של נאשם</w:t>
      </w:r>
      <w:r>
        <w:rPr>
          <w:rtl w:val="true"/>
        </w:rPr>
        <w:t xml:space="preserve">, </w:t>
      </w:r>
      <w:r>
        <w:rPr>
          <w:rtl w:val="true"/>
        </w:rPr>
        <w:t>יש לתת משקל לעובדות כתב האישום לצורך שקילת הנתונים לחומרה ולקולא</w:t>
      </w:r>
      <w:r>
        <w:rPr>
          <w:rtl w:val="true"/>
        </w:rPr>
        <w:t xml:space="preserve">. </w:t>
      </w:r>
      <w:r>
        <w:rPr>
          <w:rtl w:val="true"/>
        </w:rPr>
        <w:t>כידוע הנאשם אינו מודה בהוראת חיקוק אלא בסעיפי העובדות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לו בכך היו מתמצים פני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השוואת המעשים שיוחסו 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אל מול מעשיו של 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תומכת בעמדת ההגנה</w:t>
      </w:r>
      <w:r>
        <w:rPr>
          <w:rtl w:val="true"/>
        </w:rPr>
        <w:t xml:space="preserve">, </w:t>
      </w:r>
      <w:r>
        <w:rPr>
          <w:rtl w:val="true"/>
        </w:rPr>
        <w:t xml:space="preserve">בפרט בשים לב לכך שבעניינו של 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 זה שהיה יוזם העיסקה</w:t>
      </w:r>
      <w:r>
        <w:rPr>
          <w:rtl w:val="true"/>
        </w:rPr>
        <w:t xml:space="preserve">, </w:t>
      </w:r>
      <w:r>
        <w:rPr>
          <w:rtl w:val="true"/>
        </w:rPr>
        <w:t xml:space="preserve">הוא זה שקיבל לרשותו את הכספים וכאשר עברו הפלילי מכביד יותר מעברו של נאשם </w:t>
      </w:r>
      <w:r>
        <w:rPr/>
        <w:t>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אסור ולא ניתן</w:t>
      </w:r>
      <w:r>
        <w:rPr>
          <w:rtl w:val="true"/>
        </w:rPr>
        <w:t xml:space="preserve">, </w:t>
      </w:r>
      <w:r>
        <w:rPr>
          <w:rtl w:val="true"/>
        </w:rPr>
        <w:t xml:space="preserve">להתעלם מהעבירה בה הורשע הנאשם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אם לנקוט בשפה ציורית </w:t>
      </w:r>
      <w:r>
        <w:rPr>
          <w:rtl w:val="true"/>
        </w:rPr>
        <w:t>"</w:t>
      </w:r>
      <w:r>
        <w:rPr>
          <w:rtl w:val="true"/>
        </w:rPr>
        <w:t>התבנית</w:t>
      </w:r>
      <w:r>
        <w:rPr>
          <w:rtl w:val="true"/>
        </w:rPr>
        <w:t xml:space="preserve">" </w:t>
      </w:r>
      <w:r>
        <w:rPr>
          <w:rtl w:val="true"/>
        </w:rPr>
        <w:t xml:space="preserve">שמונחת בבסיס כתיבת גזר הדין הינה העבירה בה הורשע הנאשם שלתוכה </w:t>
      </w:r>
      <w:r>
        <w:rPr>
          <w:rtl w:val="true"/>
        </w:rPr>
        <w:t>"</w:t>
      </w:r>
      <w:r>
        <w:rPr>
          <w:rtl w:val="true"/>
        </w:rPr>
        <w:t>יוצק</w:t>
      </w:r>
      <w:r>
        <w:rPr>
          <w:rtl w:val="true"/>
        </w:rPr>
        <w:t xml:space="preserve">" </w:t>
      </w:r>
      <w:r>
        <w:rPr>
          <w:rtl w:val="true"/>
        </w:rPr>
        <w:t>בית המשפט את הנסיבות הקונקרטיות האופפות את ביצועה</w:t>
      </w:r>
      <w:r>
        <w:rPr>
          <w:rtl w:val="true"/>
        </w:rPr>
        <w:t xml:space="preserve">. </w:t>
      </w:r>
      <w:r>
        <w:rPr>
          <w:rtl w:val="true"/>
        </w:rPr>
        <w:t xml:space="preserve">בענייננו העבירה שבסופם של דברים יוחסה 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הינה </w:t>
      </w:r>
      <w:r>
        <w:rPr>
          <w:b/>
          <w:b/>
          <w:bCs/>
          <w:u w:val="single"/>
          <w:rtl w:val="true"/>
        </w:rPr>
        <w:t>סיוע</w:t>
      </w:r>
      <w:r>
        <w:rPr>
          <w:rtl w:val="true"/>
        </w:rPr>
        <w:t xml:space="preserve"> לסחר שהעונש בגינו הינו מחצית מהעונש של המבצע העיקרי</w:t>
      </w:r>
      <w:r>
        <w:rPr>
          <w:rtl w:val="true"/>
        </w:rPr>
        <w:t xml:space="preserve">. </w:t>
      </w:r>
      <w:r>
        <w:rPr>
          <w:rtl w:val="true"/>
        </w:rPr>
        <w:t xml:space="preserve">גם אם ניתן להרהר על טיב העבירה שעובדות כתב האישום המתוקן בעניינו של 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מגלמות</w:t>
      </w:r>
      <w:r>
        <w:rPr>
          <w:rtl w:val="true"/>
        </w:rPr>
        <w:t>, (</w:t>
      </w:r>
      <w:r>
        <w:rPr>
          <w:rtl w:val="true"/>
        </w:rPr>
        <w:t>ומותב זה אינו יושב כערכאת ערעור על שיקול דעתה של המאשימה בפרט כאשר ממילא לא נשמעו ראיות בתיק ולא נפרסו מלוא השיקולים שהובילו לתיקון האמור</w:t>
      </w:r>
      <w:r>
        <w:rPr>
          <w:rtl w:val="true"/>
        </w:rPr>
        <w:t xml:space="preserve">), </w:t>
      </w:r>
      <w:r>
        <w:rPr>
          <w:rtl w:val="true"/>
        </w:rPr>
        <w:t>מדובר בשוני מהותי בין כתבי האישום שמחייב התייחסות שונה של 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על מנת לבסס טענת אפליה שומה להוכיח כי עובדות ונסיבות דומות הובילו לתוצאה עונשית שונה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מעבר לשוני בהוראת החיקוק</w:t>
      </w:r>
      <w:r>
        <w:rPr>
          <w:rtl w:val="true"/>
        </w:rPr>
        <w:t xml:space="preserve">, </w:t>
      </w:r>
      <w:r>
        <w:rPr>
          <w:rtl w:val="true"/>
        </w:rPr>
        <w:t xml:space="preserve">עיון בכתב האישום הנפרד שהוגש ביחס לנאשמים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מלמד כי מדובר </w:t>
      </w:r>
      <w:r>
        <w:rPr>
          <w:u w:val="single"/>
          <w:rtl w:val="true"/>
        </w:rPr>
        <w:t xml:space="preserve">בביצוע עסקת נשק אחרת מזו שמיוחסת לנאשם </w:t>
      </w:r>
      <w:r>
        <w:rPr>
          <w:u w:val="single"/>
        </w:rPr>
        <w:t>6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 xml:space="preserve">עסקה שבוצעה במועד אחר  ללא כל קשר לנאשם </w:t>
      </w:r>
      <w:r>
        <w:rPr>
          <w:u w:val="single"/>
        </w:rPr>
        <w:t>6</w:t>
      </w:r>
      <w:r>
        <w:rPr>
          <w:rtl w:val="true"/>
        </w:rPr>
        <w:t xml:space="preserve">  (</w:t>
      </w:r>
      <w:r>
        <w:rPr>
          <w:rtl w:val="true"/>
        </w:rPr>
        <w:t xml:space="preserve">כך גם לא נטען כי יש קשר כלשהו בין הנאשמים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ונאשם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או שאלו פעלו במסגרת אחת</w:t>
      </w:r>
      <w:r>
        <w:rPr>
          <w:rtl w:val="true"/>
        </w:rPr>
        <w:t xml:space="preserve">). </w:t>
      </w:r>
      <w:r>
        <w:rPr>
          <w:rtl w:val="true"/>
        </w:rPr>
        <w:t>העובדה כי בשני המקרים מדובר על עסקת נשק מול אותו סוכן אינה מלמדת בהכרח על קיומם של נסיבות דומות המחייבות גם אחידות בענישה</w:t>
      </w:r>
      <w:r>
        <w:rPr>
          <w:rtl w:val="true"/>
        </w:rPr>
        <w:t xml:space="preserve">. </w:t>
      </w:r>
      <w:r>
        <w:rPr>
          <w:rtl w:val="true"/>
        </w:rPr>
        <w:t>בהקשר לכך ראה דברי בית המשפט העליון 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1987/15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ד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במקרה דנן כפי שכבר צוין אין מדובר בהשוואה בין נאשמים באותו כתב אישום אלא מול מי שנידון בהליכים נפרדים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ובחלקם אף בפני מותב 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כאשר החוליה המחברת היחידה בין ההליכים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היא שמדובר בכתבי אישום שהוא תוצר של פעילות אותו סוכן משטרת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מובן שאין בכך בלבד כדי לחייב אחידות ענישה</w:t>
      </w:r>
      <w:r>
        <w:rPr>
          <w:b/>
          <w:bCs/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ואף אם ניתן לומר כי מדובר באותה דפוס פעולה מול אותו סוכן ומול אותו אסיר באופן המצדיק נקיטת אותם שיקולי ענישה</w:t>
      </w:r>
      <w:r>
        <w:rPr>
          <w:rtl w:val="true"/>
        </w:rPr>
        <w:t xml:space="preserve">, </w:t>
      </w:r>
      <w:r>
        <w:rPr>
          <w:rtl w:val="true"/>
        </w:rPr>
        <w:t>הרי שנקבע לא אחת בפסיקה שמלאכת קציבת העונש איננה נוסחה אריתמטית מדויקת אלא פרי של איזונים וכי הענישה לעולם אינדיבידואלית ונגזרת מהנסיבות והשיקולים הפרטניים של כל מקרה לגופו</w:t>
      </w:r>
      <w:r>
        <w:rPr>
          <w:rtl w:val="true"/>
        </w:rPr>
        <w:t>. (</w:t>
      </w:r>
      <w:r>
        <w:rPr>
          <w:rtl w:val="true"/>
        </w:rPr>
        <w:t xml:space="preserve">ראה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7552/14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אגבריה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). </w:t>
      </w:r>
      <w:r>
        <w:rPr>
          <w:rtl w:val="true"/>
        </w:rPr>
        <w:t>עוד נקבע שעקרון אחידות הענישה אינו חזות הכל ועל בית משפט להגיע לתוצאה המגשימה גם את תכלית ההגנה על עניינו של הציבור והפרט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לעניין זה יפים הדברים שנאמרו 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 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 י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שהם</w:t>
      </w:r>
      <w:r>
        <w:rPr>
          <w:b/>
          <w:b/>
          <w:bCs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8443/15</w:t>
        </w:r>
      </w:hyperlink>
      <w:r>
        <w:rPr>
          <w:color w:val="000000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 חגולי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15.12.15</w:t>
      </w:r>
      <w:r>
        <w:rPr>
          <w:rtl w:val="true"/>
        </w:rPr>
        <w:t>):</w:t>
      </w:r>
    </w:p>
    <w:p>
      <w:pPr>
        <w:pStyle w:val="Normal"/>
        <w:tabs>
          <w:tab w:val="left" w:pos="720" w:leader="none"/>
        </w:tabs>
        <w:overflowPunct w:val="false"/>
        <w:autoSpaceDE w:val="false"/>
        <w:spacing w:before="240" w:after="0"/>
        <w:ind w:start="567" w:end="567"/>
        <w:jc w:val="both"/>
        <w:rPr/>
      </w:pPr>
      <w:r>
        <w:rPr>
          <w:rFonts w:cs="Century" w:ascii="Century" w:hAnsi="Century"/>
          <w:b/>
          <w:bCs/>
          <w:spacing w:val="10"/>
          <w:rtl w:val="true"/>
        </w:rPr>
        <w:t>"</w:t>
      </w:r>
      <w:r>
        <w:rPr>
          <w:rFonts w:ascii="Century" w:hAnsi="Century" w:cs="Century"/>
          <w:b/>
          <w:b/>
          <w:bCs/>
          <w:spacing w:val="10"/>
          <w:rtl w:val="true"/>
        </w:rPr>
        <w:t>אמת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נכון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הדבר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כי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עיקרון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אחידות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הענישה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ראוי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לזכות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למשקל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נכבד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בעת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גזירת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עונשו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של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הנאשם</w:t>
      </w:r>
      <w:r>
        <w:rPr>
          <w:rFonts w:cs="Century" w:ascii="Century" w:hAnsi="Century"/>
          <w:b/>
          <w:bCs/>
          <w:spacing w:val="10"/>
          <w:rtl w:val="true"/>
        </w:rPr>
        <w:t xml:space="preserve">. </w:t>
      </w:r>
      <w:r>
        <w:rPr>
          <w:rFonts w:ascii="Century" w:hAnsi="Century" w:cs="Century"/>
          <w:b/>
          <w:b/>
          <w:bCs/>
          <w:spacing w:val="10"/>
          <w:rtl w:val="true"/>
        </w:rPr>
        <w:t>על</w:t>
      </w:r>
      <w:r>
        <w:rPr>
          <w:rFonts w:cs="Century" w:ascii="Century" w:hAnsi="Century"/>
          <w:b/>
          <w:bCs/>
          <w:spacing w:val="10"/>
          <w:rtl w:val="true"/>
        </w:rPr>
        <w:t>-</w:t>
      </w:r>
      <w:r>
        <w:rPr>
          <w:rFonts w:ascii="Century" w:hAnsi="Century" w:cs="Century"/>
          <w:b/>
          <w:b/>
          <w:bCs/>
          <w:spacing w:val="10"/>
          <w:rtl w:val="true"/>
        </w:rPr>
        <w:t>פי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עיקרון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זה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יש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להחיל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במידת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האפשר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שיקולי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ענישה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דומים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על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נאשמים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שאינם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נבדלים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מהותית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זה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מזה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מבחינת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אופיין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של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העבירות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שהם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ביצעו</w:t>
      </w:r>
      <w:r>
        <w:rPr>
          <w:rFonts w:cs="Century" w:ascii="Century" w:hAnsi="Century"/>
          <w:b/>
          <w:bCs/>
          <w:spacing w:val="10"/>
          <w:rtl w:val="true"/>
        </w:rPr>
        <w:t xml:space="preserve">; </w:t>
      </w:r>
      <w:r>
        <w:rPr>
          <w:rFonts w:ascii="Century" w:hAnsi="Century" w:cs="Century"/>
          <w:b/>
          <w:b/>
          <w:bCs/>
          <w:spacing w:val="10"/>
          <w:rtl w:val="true"/>
        </w:rPr>
        <w:t>נסיבות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ביצוען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של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העבירות</w:t>
      </w:r>
      <w:r>
        <w:rPr>
          <w:rFonts w:cs="Century" w:ascii="Century" w:hAnsi="Century"/>
          <w:b/>
          <w:bCs/>
          <w:spacing w:val="10"/>
          <w:rtl w:val="true"/>
        </w:rPr>
        <w:t xml:space="preserve">; </w:t>
      </w:r>
      <w:r>
        <w:rPr>
          <w:rFonts w:ascii="Century" w:hAnsi="Century" w:cs="Century"/>
          <w:b/>
          <w:b/>
          <w:bCs/>
          <w:spacing w:val="10"/>
          <w:rtl w:val="true"/>
        </w:rPr>
        <w:t>נסיבותיהם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האישיות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של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spacing w:val="10"/>
          <w:rtl w:val="true"/>
        </w:rPr>
        <w:t>הנאשמים</w:t>
      </w:r>
      <w:r>
        <w:rPr>
          <w:rFonts w:cs="Century" w:ascii="Century" w:hAnsi="Century"/>
          <w:b/>
          <w:bCs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spacing w:val="10"/>
          <w:rtl w:val="true"/>
        </w:rPr>
        <w:t>וכיוצא</w:t>
      </w:r>
      <w:r>
        <w:rPr>
          <w:rFonts w:ascii="Century" w:hAnsi="Century" w:cs="Century"/>
          <w:b/>
          <w:b/>
          <w:bCs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באלה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>(</w:t>
      </w:r>
      <w:hyperlink r:id="rId25">
        <w:r>
          <w:rPr>
            <w:rStyle w:val="Hyperlink"/>
            <w:rFonts w:ascii="Century" w:hAnsi="Century" w:cs="Century"/>
            <w:b/>
            <w:b/>
            <w:bCs/>
            <w:color w:val="0000FF"/>
            <w:spacing w:val="10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/>
            <w:b/>
            <w:bCs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b/>
            <w:b/>
            <w:bCs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/>
            <w:bCs/>
            <w:color w:val="0000FF"/>
            <w:spacing w:val="10"/>
            <w:u w:val="single"/>
          </w:rPr>
          <w:t>4022/15</w:t>
        </w:r>
      </w:hyperlink>
      <w:r>
        <w:rPr>
          <w:rFonts w:cs="Century" w:ascii="Century" w:hAnsi="Century"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>יוסף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>נ</w:t>
      </w:r>
      <w:r>
        <w:rPr>
          <w:rFonts w:cs="Century" w:ascii="Century" w:hAnsi="Century"/>
          <w:b/>
          <w:bCs/>
          <w:color w:val="000000"/>
          <w:u w:val="single"/>
          <w:rtl w:val="true"/>
        </w:rPr>
        <w:t xml:space="preserve">' 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>מדינת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>ישראל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Cs/>
          <w:color w:val="000000"/>
          <w:rtl w:val="true"/>
        </w:rPr>
        <w:t>[</w:t>
      </w:r>
      <w:r>
        <w:rPr>
          <w:b/>
          <w:b/>
          <w:bCs/>
          <w:color w:val="000000"/>
          <w:rtl w:val="true"/>
        </w:rPr>
        <w:t>פורסם בנבו</w:t>
      </w:r>
      <w:r>
        <w:rPr>
          <w:b/>
          <w:bCs/>
          <w:color w:val="000000"/>
          <w:rtl w:val="true"/>
        </w:rPr>
        <w:t xml:space="preserve">] 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>(</w:t>
      </w:r>
      <w:r>
        <w:rPr>
          <w:rFonts w:cs="Century" w:ascii="Century" w:hAnsi="Century"/>
          <w:b/>
          <w:bCs/>
          <w:color w:val="000000"/>
          <w:spacing w:val="10"/>
        </w:rPr>
        <w:t>14.6.2015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 xml:space="preserve">)).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יחד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עם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זאת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על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אף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חשיבותו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עיקרון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אחידות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הענישה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איננו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עומד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לבדו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בעת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גזירת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העונש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 xml:space="preserve">,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ולצידו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יש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ליתן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את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הדעת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ליתר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שיקולי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הענישה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 xml:space="preserve">.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כפי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שציינתי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>ב</w:t>
      </w:r>
      <w:hyperlink r:id="rId26">
        <w:r>
          <w:rPr>
            <w:rStyle w:val="Hyperlink"/>
            <w:rFonts w:ascii="Century" w:hAnsi="Century" w:cs="Century"/>
            <w:b/>
            <w:b/>
            <w:bCs/>
            <w:color w:val="0000FF"/>
            <w:spacing w:val="10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/>
            <w:b/>
            <w:bCs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b/>
            <w:b/>
            <w:bCs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/>
            <w:bCs/>
            <w:color w:val="0000FF"/>
            <w:spacing w:val="10"/>
            <w:u w:val="single"/>
          </w:rPr>
          <w:t>7064/12</w:t>
        </w:r>
      </w:hyperlink>
      <w:r>
        <w:rPr>
          <w:rFonts w:cs="Century" w:ascii="Century" w:hAnsi="Century"/>
          <w:b/>
          <w:bCs/>
          <w:color w:val="000000"/>
          <w:spacing w:val="10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>פנדו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>נ</w:t>
      </w:r>
      <w:r>
        <w:rPr>
          <w:rFonts w:cs="Century" w:ascii="Century" w:hAnsi="Century"/>
          <w:b/>
          <w:bCs/>
          <w:color w:val="000000"/>
          <w:u w:val="single"/>
          <w:rtl w:val="true"/>
        </w:rPr>
        <w:t xml:space="preserve">' 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>מדינת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entury" w:hAnsi="Century" w:cs="Century"/>
          <w:b/>
          <w:b/>
          <w:bCs/>
          <w:color w:val="000000"/>
          <w:u w:val="single"/>
          <w:rtl w:val="true"/>
        </w:rPr>
        <w:t>ישראל</w:t>
      </w:r>
      <w:r>
        <w:rPr>
          <w:rFonts w:ascii="Century" w:hAnsi="Century" w:cs="Century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[</w:t>
      </w:r>
      <w:r>
        <w:rPr>
          <w:b/>
          <w:b/>
          <w:bCs/>
          <w:color w:val="000000"/>
          <w:rtl w:val="true"/>
        </w:rPr>
        <w:t>פורסם בנבו</w:t>
      </w:r>
      <w:r>
        <w:rPr>
          <w:b/>
          <w:bCs/>
          <w:color w:val="000000"/>
          <w:rtl w:val="true"/>
        </w:rPr>
        <w:t xml:space="preserve">] 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>(</w:t>
      </w:r>
      <w:r>
        <w:rPr>
          <w:rFonts w:cs="Century" w:ascii="Century" w:hAnsi="Century"/>
          <w:b/>
          <w:bCs/>
          <w:color w:val="000000"/>
          <w:spacing w:val="10"/>
        </w:rPr>
        <w:t>14.10.2012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>)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>:</w:t>
      </w:r>
      <w:r>
        <w:rPr>
          <w:rFonts w:cs="Century" w:ascii="Century" w:hAnsi="Century"/>
          <w:b/>
          <w:bCs/>
          <w:color w:val="000000"/>
          <w:spacing w:val="10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overflowPunct w:val="false"/>
        <w:autoSpaceDE w:val="false"/>
        <w:spacing w:before="240" w:after="0"/>
        <w:ind w:start="567" w:end="567"/>
        <w:jc w:val="both"/>
        <w:rPr>
          <w:rFonts w:ascii="Century" w:hAnsi="Century" w:cs="Century"/>
          <w:b/>
          <w:bCs/>
          <w:color w:val="000000"/>
          <w:spacing w:val="10"/>
        </w:rPr>
      </w:pP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עקרון אחידות הענישה אינו חזות הכל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וכלל זה אינו קובע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פריורית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כי לכל המורשעים באותו סוג של עבירות קיים דין אחד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כלומר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בית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המשפט לא ילמד בהכרח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מהעונש שנגזר על פלוני לגבי העונש הראוי לאלמוני 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/>
          <w:bCs/>
          <w:color w:val="000000"/>
          <w:rtl w:val="true"/>
        </w:rPr>
        <w:t>כל מקרה ונסיבותיו הוא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כל נאשם ונסיבותיו הוא</w:t>
      </w:r>
      <w:r>
        <w:rPr>
          <w:b/>
          <w:bCs/>
          <w:color w:val="000000"/>
          <w:rtl w:val="true"/>
        </w:rPr>
        <w:t>" (</w:t>
      </w:r>
      <w:r>
        <w:rPr>
          <w:b/>
          <w:b/>
          <w:bCs/>
          <w:color w:val="000000"/>
          <w:rtl w:val="true"/>
        </w:rPr>
        <w:t>ראו גם</w:t>
      </w:r>
      <w:r>
        <w:rPr>
          <w:b/>
          <w:bCs/>
          <w:color w:val="000000"/>
          <w:rtl w:val="true"/>
        </w:rPr>
        <w:t xml:space="preserve">: 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1078/15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קרקי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מדינת ישראל </w:t>
      </w:r>
      <w:r>
        <w:rPr>
          <w:b/>
          <w:bCs/>
          <w:color w:val="000000"/>
          <w:rtl w:val="true"/>
        </w:rPr>
        <w:t>[</w:t>
      </w:r>
      <w:r>
        <w:rPr>
          <w:b/>
          <w:b/>
          <w:bCs/>
          <w:color w:val="000000"/>
          <w:rtl w:val="true"/>
        </w:rPr>
        <w:t>פורסם בנבו</w:t>
      </w:r>
      <w:r>
        <w:rPr>
          <w:b/>
          <w:bCs/>
          <w:color w:val="000000"/>
          <w:rtl w:val="true"/>
        </w:rPr>
        <w:t>] (</w:t>
      </w:r>
      <w:r>
        <w:rPr>
          <w:b/>
          <w:bCs/>
          <w:color w:val="000000"/>
        </w:rPr>
        <w:t>15.2.2015</w:t>
      </w:r>
      <w:r>
        <w:rPr>
          <w:b/>
          <w:bCs/>
          <w:color w:val="000000"/>
          <w:rtl w:val="true"/>
        </w:rPr>
        <w:t xml:space="preserve">); 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8337/14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rtl w:val="true"/>
        </w:rPr>
        <w:t>ברקוביץ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</w:t>
      </w:r>
      <w:r>
        <w:rPr>
          <w:b/>
          <w:bCs/>
        </w:rPr>
        <w:t>12.12.2014</w:t>
      </w:r>
      <w:r>
        <w:rPr>
          <w:b/>
          <w:bCs/>
          <w:rtl w:val="true"/>
        </w:rPr>
        <w:t>)).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b/>
          <w:bCs/>
          <w:color w:val="000000"/>
          <w:spacing w:val="10"/>
        </w:rPr>
      </w:pPr>
      <w:r>
        <w:rPr>
          <w:rFonts w:cs="Century" w:ascii="Century" w:hAnsi="Century"/>
          <w:b/>
          <w:bCs/>
          <w:color w:val="000000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מעבר לכל אלה</w:t>
      </w:r>
      <w:r>
        <w:rPr>
          <w:rtl w:val="true"/>
        </w:rPr>
        <w:t xml:space="preserve">, </w:t>
      </w:r>
      <w:r>
        <w:rPr>
          <w:rtl w:val="true"/>
        </w:rPr>
        <w:t>ובשולי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יוער כי בעניינם של נאשמים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הוצג </w:t>
      </w:r>
      <w:r>
        <w:rPr>
          <w:rtl w:val="true"/>
        </w:rPr>
        <w:t>"</w:t>
      </w:r>
      <w:r>
        <w:rPr>
          <w:rtl w:val="true"/>
        </w:rPr>
        <w:t>הסדר סגור</w:t>
      </w:r>
      <w:r>
        <w:rPr>
          <w:rtl w:val="true"/>
        </w:rPr>
        <w:t xml:space="preserve">" </w:t>
      </w:r>
      <w:r>
        <w:rPr>
          <w:rtl w:val="true"/>
        </w:rPr>
        <w:t>לעניין העונש</w:t>
      </w:r>
      <w:r>
        <w:rPr>
          <w:rtl w:val="true"/>
        </w:rPr>
        <w:t xml:space="preserve">, </w:t>
      </w:r>
      <w:r>
        <w:rPr>
          <w:rtl w:val="true"/>
        </w:rPr>
        <w:t>באופן שבו ביהמ</w:t>
      </w:r>
      <w:r>
        <w:rPr>
          <w:rtl w:val="true"/>
        </w:rPr>
        <w:t>"</w:t>
      </w:r>
      <w:r>
        <w:rPr>
          <w:rtl w:val="true"/>
        </w:rPr>
        <w:t>ש אינו גוזר בהכרח את העונש הראוי בנסיבות העניין אלא בוחן את סבירותו של ההסדר</w:t>
      </w:r>
      <w:r>
        <w:rPr>
          <w:rtl w:val="true"/>
        </w:rPr>
        <w:t xml:space="preserve">. </w:t>
      </w:r>
      <w:r>
        <w:rPr>
          <w:rtl w:val="true"/>
        </w:rPr>
        <w:t>על דרך הכלל</w:t>
      </w:r>
      <w:r>
        <w:rPr>
          <w:rtl w:val="true"/>
        </w:rPr>
        <w:t xml:space="preserve">, </w:t>
      </w:r>
      <w:r>
        <w:rPr>
          <w:rtl w:val="true"/>
        </w:rPr>
        <w:t>גם כאשר מדובר בעונשים הנוטים לקולא או לחומרא</w:t>
      </w:r>
      <w:r>
        <w:rPr>
          <w:rtl w:val="true"/>
        </w:rPr>
        <w:t xml:space="preserve">, </w:t>
      </w:r>
      <w:r>
        <w:rPr>
          <w:rtl w:val="true"/>
        </w:rPr>
        <w:t>בתי המשפט יכבדוהו</w:t>
      </w:r>
      <w:r>
        <w:rPr>
          <w:rtl w:val="true"/>
        </w:rPr>
        <w:t xml:space="preserve">, </w:t>
      </w:r>
      <w:r>
        <w:rPr>
          <w:rtl w:val="true"/>
        </w:rPr>
        <w:t>למעט מקרים חריגים ויוצאי דופן</w:t>
      </w:r>
      <w:r>
        <w:rPr>
          <w:rtl w:val="true"/>
        </w:rPr>
        <w:t xml:space="preserve">. </w:t>
      </w:r>
      <w:r>
        <w:rPr>
          <w:rtl w:val="true"/>
        </w:rPr>
        <w:t>מטבעם של דברים</w:t>
      </w:r>
      <w:r>
        <w:rPr>
          <w:rtl w:val="true"/>
        </w:rPr>
        <w:t xml:space="preserve">, </w:t>
      </w:r>
      <w:r>
        <w:rPr>
          <w:rtl w:val="true"/>
        </w:rPr>
        <w:t>בשעה שמדובר בהסדר סגור לעניין העונש</w:t>
      </w:r>
      <w:r>
        <w:rPr>
          <w:rtl w:val="true"/>
        </w:rPr>
        <w:t xml:space="preserve">, </w:t>
      </w:r>
      <w:r>
        <w:rPr>
          <w:rtl w:val="true"/>
        </w:rPr>
        <w:t>בפרט כאשר טרם נשמעו ראיות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אינו נחשף למלוא השיקולים העומדים בבסיס ההסדר</w:t>
      </w:r>
      <w:r>
        <w:rPr>
          <w:rtl w:val="true"/>
        </w:rPr>
        <w:t xml:space="preserve">, </w:t>
      </w:r>
      <w:r>
        <w:rPr>
          <w:rtl w:val="true"/>
        </w:rPr>
        <w:t>לרבות לא שיקולים ראייתיים</w:t>
      </w:r>
      <w:r>
        <w:rPr>
          <w:rtl w:val="true"/>
        </w:rPr>
        <w:t xml:space="preserve">. </w:t>
      </w:r>
      <w:r>
        <w:rPr>
          <w:rtl w:val="true"/>
        </w:rPr>
        <w:t>לא כך הם פני הדברים בשעה שמדובר בטיעון פתוח לעונש</w:t>
      </w:r>
      <w:r>
        <w:rPr>
          <w:rtl w:val="true"/>
        </w:rPr>
        <w:t xml:space="preserve">, </w:t>
      </w:r>
      <w:r>
        <w:rPr>
          <w:rtl w:val="true"/>
        </w:rPr>
        <w:t xml:space="preserve">כפי עניינו של נאשם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שאז ביהמ</w:t>
      </w:r>
      <w:r>
        <w:rPr>
          <w:rtl w:val="true"/>
        </w:rPr>
        <w:t>"</w:t>
      </w:r>
      <w:r>
        <w:rPr>
          <w:rtl w:val="true"/>
        </w:rPr>
        <w:t>ש הוא זה שגוזר את העונש הראוי לשיטתו</w:t>
      </w:r>
      <w:r>
        <w:rPr>
          <w:rtl w:val="true"/>
        </w:rPr>
        <w:t xml:space="preserve">. </w:t>
      </w:r>
      <w:r>
        <w:rPr>
          <w:rtl w:val="true"/>
        </w:rPr>
        <w:t>בענייננו העונש הראוי בהתאם לטווח העונשי המוסכם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אין בכל האמור לעיל כדי ללמד שבית משפט אינו מתחשב בשיקולי אחידות הענישה</w:t>
      </w:r>
      <w:r>
        <w:rPr>
          <w:rtl w:val="true"/>
        </w:rPr>
        <w:t xml:space="preserve">, </w:t>
      </w:r>
      <w:r>
        <w:rPr>
          <w:rtl w:val="true"/>
        </w:rPr>
        <w:t>אלא ללמד כי התחשבות זו תהיה במשורה</w:t>
      </w:r>
      <w:r>
        <w:rPr>
          <w:rtl w:val="true"/>
        </w:rPr>
        <w:t xml:space="preserve">. </w:t>
      </w:r>
      <w:r>
        <w:rPr>
          <w:rtl w:val="true"/>
        </w:rPr>
        <w:t>כך גם יוער שאלמלא שיקולי אחידות ענישה עונשו של הנאשם בתקרת הטווח העונשי המוסכם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סוף דבר מכל המקובץ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 לגזור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שיימנו מיום מעצרו </w:t>
      </w:r>
      <w:r>
        <w:rPr>
          <w:rFonts w:cs="Arial" w:ascii="Arial" w:hAnsi="Arial"/>
        </w:rPr>
        <w:t>10/9/17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עבירות נשק מסוג עוון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עבירות נשק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קנס או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הקנס ישולם עד ליום </w:t>
      </w:r>
      <w:r>
        <w:rPr>
          <w:rFonts w:cs="Arial" w:ascii="Arial" w:hAnsi="Arial"/>
        </w:rPr>
        <w:t>1.1.19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z w:val="6"/>
          <w:szCs w:val="6"/>
        </w:rPr>
      </w:pPr>
      <w:r>
        <w:rPr>
          <w:rFonts w:cs="FrankRuehl" w:ascii="Times New Roman" w:hAnsi="Times New Roman"/>
          <w:sz w:val="6"/>
          <w:szCs w:val="6"/>
        </w:rPr>
        <w:t>#3#</w:t>
      </w:r>
      <w:r>
        <w:rPr>
          <w:rFonts w:cs="FrankRuehl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Times New Roman" w:hAnsi="Times New Roman" w:cs="FrankRuehl"/>
          <w:sz w:val="6"/>
          <w:szCs w:val="6"/>
        </w:rPr>
      </w:pPr>
      <w:r>
        <w:rPr>
          <w:rFonts w:cs="FrankRuehl" w:ascii="Times New Roman" w:hAnsi="Times New Roman"/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4" w:name="Nitan"/>
      <w:r>
        <w:rPr>
          <w:b/>
          <w:b/>
          <w:bCs/>
          <w:rtl w:val="true"/>
        </w:rPr>
        <w:t>ניתנה והודעה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17/07/2018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4"/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דניאל בן טולילה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אילנית</w:t>
      </w:r>
      <w:r>
        <w:rPr>
          <w:rtl w:val="true"/>
        </w:rPr>
        <w:t xml:space="preserve"> </w:t>
      </w:r>
      <w:r>
        <w:rPr>
          <w:rtl w:val="true"/>
        </w:rPr>
        <w:t>רוימי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דניאל בן טולילה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46125-09-17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פמ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ד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מאיר צאנו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6125-09-17"/>
    <w:docVar w:name="caseId" w:val="74843291"/>
    <w:docVar w:name="deriveClass" w:val="NGCS.Protocol.BL.Client.ProtocolBLClientCriminal"/>
    <w:docVar w:name="firstPageNumber" w:val="32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2"/>
    <w:docVar w:name="protocolId" w:val="8835735"/>
    <w:docVar w:name="releaseSign" w:val="0"/>
    <w:docVar w:name="sittingDateTime" w:val="17/07/2018 15:00     "/>
    <w:docVar w:name="sittingId" w:val="84955997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CharChar">
    <w:name w:val=" Char Char"/>
    <w:qFormat/>
    <w:rPr>
      <w:rFonts w:cs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hC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0683368" TargetMode="External"/><Relationship Id="rId8" Type="http://schemas.openxmlformats.org/officeDocument/2006/relationships/hyperlink" Target="http://www.nevo.co.il/case/20181627" TargetMode="External"/><Relationship Id="rId9" Type="http://schemas.openxmlformats.org/officeDocument/2006/relationships/hyperlink" Target="http://www.nevo.co.il/case/18090623" TargetMode="External"/><Relationship Id="rId10" Type="http://schemas.openxmlformats.org/officeDocument/2006/relationships/hyperlink" Target="http://www.nevo.co.il/case/702933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hC" TargetMode="External"/><Relationship Id="rId13" Type="http://schemas.openxmlformats.org/officeDocument/2006/relationships/hyperlink" Target="http://www.nevo.co.il/case/6034921" TargetMode="External"/><Relationship Id="rId14" Type="http://schemas.openxmlformats.org/officeDocument/2006/relationships/hyperlink" Target="http://www.nevo.co.il/case/6248918" TargetMode="External"/><Relationship Id="rId15" Type="http://schemas.openxmlformats.org/officeDocument/2006/relationships/hyperlink" Target="http://www.nevo.co.il/case/5748124" TargetMode="External"/><Relationship Id="rId16" Type="http://schemas.openxmlformats.org/officeDocument/2006/relationships/hyperlink" Target="http://www.nevo.co.il/case/21475572" TargetMode="External"/><Relationship Id="rId17" Type="http://schemas.openxmlformats.org/officeDocument/2006/relationships/hyperlink" Target="http://www.nevo.co.il/case/5917274" TargetMode="External"/><Relationship Id="rId18" Type="http://schemas.openxmlformats.org/officeDocument/2006/relationships/hyperlink" Target="http://www.nevo.co.il/case/5878120" TargetMode="External"/><Relationship Id="rId19" Type="http://schemas.openxmlformats.org/officeDocument/2006/relationships/hyperlink" Target="http://www.nevo.co.il/case/18653720" TargetMode="External"/><Relationship Id="rId20" Type="http://schemas.openxmlformats.org/officeDocument/2006/relationships/hyperlink" Target="http://www.nevo.co.il/case/13023134" TargetMode="External"/><Relationship Id="rId21" Type="http://schemas.openxmlformats.org/officeDocument/2006/relationships/hyperlink" Target="http://www.nevo.co.il/case/18654248" TargetMode="External"/><Relationship Id="rId22" Type="http://schemas.openxmlformats.org/officeDocument/2006/relationships/hyperlink" Target="http://www.nevo.co.il/case/20131420" TargetMode="External"/><Relationship Id="rId23" Type="http://schemas.openxmlformats.org/officeDocument/2006/relationships/hyperlink" Target="http://www.nevo.co.il/case/18653720" TargetMode="External"/><Relationship Id="rId24" Type="http://schemas.openxmlformats.org/officeDocument/2006/relationships/hyperlink" Target="http://www.nevo.co.il/case/20791687" TargetMode="External"/><Relationship Id="rId25" Type="http://schemas.openxmlformats.org/officeDocument/2006/relationships/hyperlink" Target="http://www.nevo.co.il/case/20344860" TargetMode="External"/><Relationship Id="rId26" Type="http://schemas.openxmlformats.org/officeDocument/2006/relationships/hyperlink" Target="http://www.nevo.co.il/case/5598829" TargetMode="External"/><Relationship Id="rId27" Type="http://schemas.openxmlformats.org/officeDocument/2006/relationships/hyperlink" Target="http://www.nevo.co.il/case/20028000" TargetMode="External"/><Relationship Id="rId28" Type="http://schemas.openxmlformats.org/officeDocument/2006/relationships/hyperlink" Target="http://www.nevo.co.il/case/18720572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2019-09-19T11:05:00Z</dcterms:created>
  <dc:creator> </dc:creator>
  <dc:description/>
  <cp:keywords/>
  <dc:language>en-IL</dc:language>
  <cp:lastModifiedBy>hofit</cp:lastModifiedBy>
  <cp:lastPrinted>2018-07-17T15:35:00Z</cp:lastPrinted>
  <dcterms:modified xsi:type="dcterms:W3CDTF">2019-09-19T11:05:00Z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ישראל-פמ#ד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מאיר צאנו;רחמים חדאד;טאלל עבייד;יאיר טובל;נהוראי קדם;ישראל ואזנה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ProcID=133;209&amp;PartA=512&amp;PartC=13</vt:lpwstr>
  </property>
  <property fmtid="{D5CDD505-2E9C-101B-9397-08002B2CF9AE}" pid="9" name="CASENOTES2">
    <vt:lpwstr>ProcID=133;209&amp;PartA=44504&amp;PartC=11</vt:lpwstr>
  </property>
  <property fmtid="{D5CDD505-2E9C-101B-9397-08002B2CF9AE}" pid="10" name="CASENOTES3">
    <vt:lpwstr>ProcID=209&amp;PartA=557723&amp;PartC=13</vt:lpwstr>
  </property>
  <property fmtid="{D5CDD505-2E9C-101B-9397-08002B2CF9AE}" pid="11" name="CASENOTES4">
    <vt:lpwstr>ProcID=213&amp;PartA=18&amp;PartC=19</vt:lpwstr>
  </property>
  <property fmtid="{D5CDD505-2E9C-101B-9397-08002B2CF9AE}" pid="12" name="CASESLISTTMP1">
    <vt:lpwstr>20683368;20181627;18090623;7029339;6034921;6248918;5748124;21475572;5917274;5878120;18653720:2;13023134;18654248;20131420;20791687;20344860;5598829;20028000;18720572</vt:lpwstr>
  </property>
  <property fmtid="{D5CDD505-2E9C-101B-9397-08002B2CF9AE}" pid="13" name="CITY">
    <vt:lpwstr>ב"ש</vt:lpwstr>
  </property>
  <property fmtid="{D5CDD505-2E9C-101B-9397-08002B2CF9AE}" pid="14" name="DATE">
    <vt:lpwstr>20180717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דניאל בן טולילה</vt:lpwstr>
  </property>
  <property fmtid="{D5CDD505-2E9C-101B-9397-08002B2CF9AE}" pid="18" name="LAWLISTTMP1">
    <vt:lpwstr>70301/144.b2;hC</vt:lpwstr>
  </property>
  <property fmtid="{D5CDD505-2E9C-101B-9397-08002B2CF9AE}" pid="19" name="LAWYER">
    <vt:lpwstr>יעל לויה פינק;ויצמן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46125</vt:lpwstr>
  </property>
  <property fmtid="{D5CDD505-2E9C-101B-9397-08002B2CF9AE}" pid="26" name="NEWPARTB">
    <vt:lpwstr>09</vt:lpwstr>
  </property>
  <property fmtid="{D5CDD505-2E9C-101B-9397-08002B2CF9AE}" pid="27" name="NEWPARTC">
    <vt:lpwstr>17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390020180717</vt:lpwstr>
  </property>
  <property fmtid="{D5CDD505-2E9C-101B-9397-08002B2CF9AE}" pid="38" name="TYPE_N_DATE">
    <vt:lpwstr>39020180717</vt:lpwstr>
  </property>
  <property fmtid="{D5CDD505-2E9C-101B-9397-08002B2CF9AE}" pid="39" name="VOLUME">
    <vt:lpwstr/>
  </property>
  <property fmtid="{D5CDD505-2E9C-101B-9397-08002B2CF9AE}" pid="40" name="WORDNUMPAGES">
    <vt:lpwstr>9</vt:lpwstr>
  </property>
</Properties>
</file>