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46183-11-15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תייסיר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כלי היריה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תייסיר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/>
      </w:pPr>
      <w:bookmarkStart w:id="7" w:name="ABSTRACT_END"/>
      <w:bookmarkEnd w:id="7"/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המסתתרות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הסוכן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25.7.15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Cherokee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26.7.15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מועאוויה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שבמועאוויה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ממועאוויה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עוזי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תמורת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29,000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במועאוויה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כשעתיים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למועאוויה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במועאוויה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28,000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26.1.15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14.10.14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שבמועאוויה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hyperlink r:id="rId2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שהתביעה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המותנה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התנגדה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בטענה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המותנה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ומחנך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העקלקלה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מלקוחותיו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כקבלן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והבניין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סלולרי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אטרקטיבי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סיכון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בינוני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בעסקאות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במועדים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בנפרד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רצף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ממבחני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לדאוג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ופרנסה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התבקשתי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טכני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פורמאלי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ענייני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תביעה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פרשנות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חליפת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המעוניינת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מטעויותיו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28000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אירוע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אחד</w:t>
      </w:r>
      <w:r>
        <w:rPr>
          <w:rFonts w:cs="Calibri" w:ascii="Calibri" w:hAnsi="Calibri"/>
          <w:b/>
          <w:bCs/>
          <w:u w:val="single"/>
          <w:rtl w:val="true"/>
        </w:rPr>
        <w:t xml:space="preserve">" </w:t>
      </w:r>
      <w:r>
        <w:rPr>
          <w:rFonts w:ascii="Calibri" w:hAnsi="Calibri" w:cs="Calibri"/>
          <w:b/>
          <w:b/>
          <w:bCs/>
          <w:u w:val="single"/>
          <w:rtl w:val="true"/>
        </w:rPr>
        <w:t>או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אירועים</w:t>
      </w:r>
      <w:r>
        <w:rPr>
          <w:rFonts w:cs="Calibri" w:ascii="Calibri" w:hAnsi="Calibri"/>
          <w:b/>
          <w:bCs/>
          <w:u w:val="single"/>
          <w:rtl w:val="true"/>
        </w:rPr>
        <w:t>" (</w:t>
      </w:r>
      <w:hyperlink r:id="rId3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כלשון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כלשון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הטומן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נעזרתי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hanging="284" w:start="1655" w:end="851"/>
        <w:jc w:val="both"/>
        <w:rPr>
          <w:rFonts w:ascii="Calibri" w:hAnsi="Calibri" w:cs="Miriam"/>
        </w:rPr>
      </w:pPr>
      <w:r>
        <w:rPr>
          <w:rFonts w:cs="Miriam" w:ascii="Calibri" w:hAnsi="Calibri"/>
          <w:spacing w:val="6"/>
          <w:rtl w:val="true"/>
        </w:rPr>
        <w:t xml:space="preserve">".. </w:t>
      </w:r>
      <w:r>
        <w:rPr>
          <w:rFonts w:ascii="Calibri" w:hAnsi="Calibri" w:cs="Miriam"/>
          <w:spacing w:val="6"/>
          <w:rtl w:val="true"/>
        </w:rPr>
        <w:t>בעיקרו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דבר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התשובה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לשאלה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מהם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גדרי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</w:t>
      </w:r>
      <w:r>
        <w:rPr>
          <w:rFonts w:cs="Miriam" w:ascii="Calibri" w:hAnsi="Calibri"/>
          <w:spacing w:val="6"/>
          <w:rtl w:val="true"/>
        </w:rPr>
        <w:t>"</w:t>
      </w:r>
      <w:r>
        <w:rPr>
          <w:rFonts w:ascii="Calibri" w:hAnsi="Calibri" w:cs="Miriam"/>
          <w:spacing w:val="6"/>
          <w:rtl w:val="true"/>
        </w:rPr>
        <w:t>אירוע</w:t>
      </w:r>
      <w:r>
        <w:rPr>
          <w:rFonts w:cs="Miriam" w:ascii="Calibri" w:hAnsi="Calibri"/>
          <w:spacing w:val="6"/>
          <w:rtl w:val="true"/>
        </w:rPr>
        <w:t xml:space="preserve">" </w:t>
      </w:r>
      <w:r>
        <w:rPr>
          <w:rFonts w:ascii="Calibri" w:hAnsi="Calibri" w:cs="Miriam"/>
          <w:spacing w:val="6"/>
          <w:rtl w:val="true"/>
        </w:rPr>
        <w:t>תיגזר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מניסיון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החיים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כך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שעבירות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שיש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ביניהן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קשר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הדוק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ייחשבו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לאירוע</w:t>
      </w:r>
      <w:r>
        <w:rPr>
          <w:rFonts w:ascii="Calibri" w:hAnsi="Calibri" w:eastAsia="Calibri" w:cs="Calibri"/>
          <w:b/>
          <w:b/>
          <w:bCs/>
          <w:spacing w:val="6"/>
          <w:rtl w:val="true"/>
        </w:rPr>
        <w:t xml:space="preserve"> </w:t>
      </w:r>
      <w:r>
        <w:rPr>
          <w:rFonts w:ascii="Calibri" w:hAnsi="Calibri" w:cs="Miriam"/>
          <w:b/>
          <w:b/>
          <w:bCs/>
          <w:spacing w:val="6"/>
          <w:rtl w:val="true"/>
        </w:rPr>
        <w:t>אחד</w:t>
      </w:r>
      <w:r>
        <w:rPr>
          <w:rFonts w:cs="Miriam" w:ascii="Calibri" w:hAnsi="Calibri"/>
          <w:spacing w:val="6"/>
          <w:rtl w:val="true"/>
        </w:rPr>
        <w:t xml:space="preserve">. </w:t>
      </w:r>
      <w:r>
        <w:rPr>
          <w:rFonts w:ascii="Calibri" w:hAnsi="Calibri" w:cs="Miriam"/>
          <w:spacing w:val="6"/>
          <w:rtl w:val="true"/>
        </w:rPr>
        <w:t>המובן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שיינתן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למונח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cs="Miriam" w:ascii="Calibri" w:hAnsi="Calibri"/>
          <w:spacing w:val="6"/>
          <w:rtl w:val="true"/>
        </w:rPr>
        <w:t>"</w:t>
      </w:r>
      <w:r>
        <w:rPr>
          <w:rFonts w:ascii="Calibri" w:hAnsi="Calibri" w:cs="Miriam"/>
          <w:spacing w:val="6"/>
          <w:rtl w:val="true"/>
        </w:rPr>
        <w:t>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הדוק</w:t>
      </w:r>
      <w:r>
        <w:rPr>
          <w:rFonts w:cs="Miriam" w:ascii="Calibri" w:hAnsi="Calibri"/>
          <w:spacing w:val="6"/>
          <w:rtl w:val="true"/>
        </w:rPr>
        <w:t xml:space="preserve">" </w:t>
      </w:r>
      <w:r>
        <w:rPr>
          <w:rFonts w:ascii="Calibri" w:hAnsi="Calibri" w:cs="Miriam"/>
          <w:spacing w:val="6"/>
          <w:rtl w:val="true"/>
        </w:rPr>
        <w:t>יתפתח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ממקרה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למקרה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ואין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צורך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לקבוע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אותו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באופן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קשיח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כבר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כעת</w:t>
      </w:r>
      <w:r>
        <w:rPr>
          <w:rFonts w:cs="Miriam" w:ascii="Calibri" w:hAnsi="Calibri"/>
          <w:spacing w:val="6"/>
          <w:rtl w:val="true"/>
        </w:rPr>
        <w:t xml:space="preserve">. </w:t>
      </w:r>
      <w:r>
        <w:rPr>
          <w:rFonts w:ascii="Calibri" w:hAnsi="Calibri" w:cs="Miriam"/>
          <w:spacing w:val="6"/>
          <w:rtl w:val="true"/>
        </w:rPr>
        <w:t>עם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זאת</w:t>
      </w:r>
      <w:r>
        <w:rPr>
          <w:rFonts w:cs="Miriam" w:ascii="Calibri" w:hAnsi="Calibri"/>
          <w:spacing w:val="6"/>
          <w:rtl w:val="true"/>
        </w:rPr>
        <w:t xml:space="preserve">, </w:t>
      </w:r>
      <w:r>
        <w:rPr>
          <w:rFonts w:ascii="Calibri" w:hAnsi="Calibri" w:cs="Miriam"/>
          <w:spacing w:val="6"/>
          <w:rtl w:val="true"/>
        </w:rPr>
        <w:t>ניתן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לומר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ברגיל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כזה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עבירות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יימצא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תהיה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ביניהן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סמיכות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זמנים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תהיינה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חלק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מאותה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תוכנית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עבריינית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אף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כאשר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בוצעו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לאורך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תקופת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זמן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שאינה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קצרה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cs="Miriam" w:ascii="Calibri" w:hAnsi="Calibri"/>
          <w:spacing w:val="6"/>
          <w:rtl w:val="true"/>
        </w:rPr>
        <w:t>(</w:t>
      </w:r>
      <w:r>
        <w:rPr>
          <w:rFonts w:ascii="Calibri" w:hAnsi="Calibri" w:cs="Miriam"/>
          <w:spacing w:val="6"/>
          <w:rtl w:val="true"/>
        </w:rPr>
        <w:t>אך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מבלי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שפרמטרים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אלה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ימצו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את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מבחני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העזר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האפשריים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לבחינת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עוצמתו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של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הקשר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בין</w:t>
      </w:r>
      <w:r>
        <w:rPr>
          <w:rFonts w:ascii="Calibri" w:hAnsi="Calibri" w:eastAsia="Calibri" w:cs="Calibri"/>
          <w:spacing w:val="6"/>
          <w:rtl w:val="true"/>
        </w:rPr>
        <w:t xml:space="preserve"> </w:t>
      </w:r>
      <w:r>
        <w:rPr>
          <w:rFonts w:ascii="Calibri" w:hAnsi="Calibri" w:cs="Miriam"/>
          <w:spacing w:val="6"/>
          <w:rtl w:val="true"/>
        </w:rPr>
        <w:t>העבירות</w:t>
      </w:r>
      <w:r>
        <w:rPr>
          <w:rFonts w:cs="Miriam" w:ascii="Calibri" w:hAnsi="Calibri"/>
          <w:spacing w:val="6"/>
          <w:rtl w:val="true"/>
        </w:rPr>
        <w:t>).."</w:t>
      </w:r>
      <w:r>
        <w:rPr>
          <w:rFonts w:cs="Miriam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השופטת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ברק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ארז</w:t>
      </w:r>
      <w:r>
        <w:rPr>
          <w:rFonts w:cs="Calibri" w:ascii="Calibri" w:hAnsi="Calibri"/>
          <w:b/>
          <w:bCs/>
          <w:rtl w:val="true"/>
        </w:rPr>
        <w:t xml:space="preserve">).   </w:t>
      </w:r>
    </w:p>
    <w:p>
      <w:pPr>
        <w:pStyle w:val="Normal"/>
        <w:spacing w:lineRule="auto" w:line="360" w:before="0" w:after="160"/>
        <w:ind w:hanging="46" w:start="-46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יוצא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כנכללות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ולגזור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37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הדוק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עובדתי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1982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1513" w:end="1134"/>
        <w:jc w:val="both"/>
        <w:rPr/>
      </w:pP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cs="Miriam" w:ascii="Arial TUR;Arial Unicode MS" w:hAnsi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אני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סבורה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כי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הקשר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ההדוק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אמור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להיות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מיושם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באופן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שונה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הצורני</w:t>
      </w:r>
      <w:r>
        <w:rPr>
          <w:rFonts w:cs="Miriam" w:ascii="Arial TUR;Arial Unicode MS" w:hAnsi="Arial TUR;Arial Unicode MS"/>
          <w:spacing w:val="6"/>
          <w:rtl w:val="true"/>
        </w:rPr>
        <w:t>-</w:t>
      </w:r>
      <w:r>
        <w:rPr>
          <w:rFonts w:ascii="Arial TUR;Arial Unicode MS" w:hAnsi="Arial TUR;Arial Unicode MS" w:cs="Miriam"/>
          <w:spacing w:val="6"/>
          <w:rtl w:val="true"/>
        </w:rPr>
        <w:t>עובדתי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הנהוג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בפסיקה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בהתייחס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לסעיף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</w:rPr>
        <w:t>186</w:t>
      </w:r>
      <w:r>
        <w:rPr>
          <w:rFonts w:cs="Miriam" w:ascii="Arial TUR;Arial Unicode MS" w:hAnsi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</w:t>
      </w:r>
      <w:hyperlink r:id="rId41"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חוק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סדר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הדין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הפלילי</w:t>
        </w:r>
      </w:hyperlink>
      <w:r>
        <w:rPr>
          <w:rFonts w:cs="Miriam" w:ascii="Arial TUR;Arial Unicode MS" w:hAnsi="Arial TUR;Arial Unicode MS"/>
          <w:spacing w:val="6"/>
          <w:rtl w:val="true"/>
        </w:rPr>
        <w:t>.</w:t>
      </w:r>
      <w:r>
        <w:rPr>
          <w:rFonts w:ascii="Arial TUR;Arial Unicode MS" w:hAnsi="Arial TUR;Arial Unicode MS" w:cs="Miriam"/>
          <w:spacing w:val="6"/>
          <w:rtl w:val="true"/>
        </w:rPr>
        <w:t>במה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דברים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אמורים</w:t>
      </w:r>
      <w:r>
        <w:rPr>
          <w:rFonts w:cs="Miriam" w:ascii="Arial TUR;Arial Unicode MS" w:hAnsi="Arial TUR;Arial Unicode MS"/>
          <w:spacing w:val="6"/>
          <w:rtl w:val="true"/>
        </w:rPr>
        <w:t xml:space="preserve">? </w:t>
      </w:r>
      <w:r>
        <w:rPr>
          <w:rFonts w:ascii="Arial TUR;Arial Unicode MS" w:hAnsi="Arial TUR;Arial Unicode MS" w:cs="Miriam"/>
          <w:spacing w:val="6"/>
          <w:rtl w:val="true"/>
        </w:rPr>
        <w:t>המבחן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הצורני</w:t>
      </w:r>
      <w:r>
        <w:rPr>
          <w:rFonts w:cs="Miriam" w:ascii="Arial TUR;Arial Unicode MS" w:hAnsi="Arial TUR;Arial Unicode MS"/>
          <w:spacing w:val="6"/>
          <w:rtl w:val="true"/>
        </w:rPr>
        <w:t>-</w:t>
      </w:r>
      <w:r>
        <w:rPr>
          <w:rFonts w:ascii="Arial TUR;Arial Unicode MS" w:hAnsi="Arial TUR;Arial Unicode MS" w:cs="Miriam"/>
          <w:spacing w:val="6"/>
          <w:rtl w:val="true"/>
        </w:rPr>
        <w:t>עובדתי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עניינו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בשאלה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האם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מדובר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ברצף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פעולות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שאינן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ניתנות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להפרדה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  <w:rtl w:val="true"/>
        </w:rPr>
        <w:t>(</w:t>
      </w:r>
      <w:r>
        <w:rPr>
          <w:rFonts w:ascii="Arial TUR;Arial Unicode MS" w:hAnsi="Arial TUR;Arial Unicode MS" w:cs="Miriam"/>
          <w:spacing w:val="6"/>
          <w:rtl w:val="true"/>
        </w:rPr>
        <w:t>ולכן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צריכות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להיחשב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מעשה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אחד</w:t>
      </w:r>
      <w:r>
        <w:rPr>
          <w:rFonts w:cs="Miriam" w:ascii="Arial TUR;Arial Unicode MS" w:hAnsi="Arial TUR;Arial Unicode MS"/>
          <w:spacing w:val="6"/>
          <w:rtl w:val="true"/>
        </w:rPr>
        <w:t xml:space="preserve">) </w:t>
      </w:r>
      <w:r>
        <w:rPr>
          <w:rFonts w:ascii="Arial TUR;Arial Unicode MS" w:hAnsi="Arial TUR;Arial Unicode MS" w:cs="Miriam"/>
          <w:spacing w:val="6"/>
          <w:rtl w:val="true"/>
        </w:rPr>
        <w:t>או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שמא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ניתן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להפריד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ביניהן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באופן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שאינו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מלאכותי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  <w:rtl w:val="true"/>
        </w:rPr>
        <w:t>(</w:t>
      </w:r>
      <w:r>
        <w:rPr>
          <w:rFonts w:ascii="Arial TUR;Arial Unicode MS" w:hAnsi="Arial TUR;Arial Unicode MS" w:cs="Miriam"/>
          <w:spacing w:val="6"/>
          <w:rtl w:val="true"/>
        </w:rPr>
        <w:t>כך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שתיחשבנה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למספר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מעשים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כמו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למשל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</w:t>
      </w:r>
      <w:hyperlink r:id="rId42"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</w:rPr>
          <w:t>4517/04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מסראווה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נ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  <w:rtl w:val="true"/>
          </w:rPr>
          <w:t xml:space="preserve">'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מדינת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ישראל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  <w:rtl w:val="true"/>
          </w:rPr>
          <w:t xml:space="preserve">,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cs="Miriam" w:ascii="Arial TUR;Arial Unicode MS" w:hAnsi="Arial TUR;Arial Unicode MS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ד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6"/>
            <w:u w:val="single"/>
            <w:rtl w:val="true"/>
          </w:rPr>
          <w:t>נט</w:t>
        </w:r>
      </w:hyperlink>
      <w:r>
        <w:rPr>
          <w:rFonts w:cs="Miriam" w:ascii="Arial TUR;Arial Unicode MS" w:hAnsi="Arial TUR;Arial Unicode MS"/>
          <w:spacing w:val="6"/>
          <w:rtl w:val="true"/>
        </w:rPr>
        <w:t>(</w:t>
      </w:r>
      <w:r>
        <w:rPr>
          <w:rFonts w:cs="Miriam" w:ascii="Arial TUR;Arial Unicode MS" w:hAnsi="Arial TUR;Arial Unicode MS"/>
          <w:spacing w:val="6"/>
        </w:rPr>
        <w:t>6</w:t>
      </w:r>
      <w:r>
        <w:rPr>
          <w:rFonts w:cs="Miriam" w:ascii="Arial TUR;Arial Unicode MS" w:hAnsi="Arial TUR;Arial Unicode MS"/>
          <w:spacing w:val="6"/>
          <w:rtl w:val="true"/>
        </w:rPr>
        <w:t xml:space="preserve">) </w:t>
      </w:r>
      <w:r>
        <w:rPr>
          <w:rFonts w:cs="Miriam" w:ascii="Arial TUR;Arial Unicode MS" w:hAnsi="Arial TUR;Arial Unicode MS"/>
          <w:spacing w:val="6"/>
        </w:rPr>
        <w:t>119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cs="Miriam" w:ascii="Arial TUR;Arial Unicode MS" w:hAnsi="Arial TUR;Arial Unicode MS"/>
          <w:spacing w:val="6"/>
        </w:rPr>
        <w:t>132</w:t>
      </w:r>
      <w:r>
        <w:rPr>
          <w:rFonts w:cs="Miriam" w:ascii="Arial TUR;Arial Unicode MS" w:hAnsi="Arial TUR;Arial Unicode MS"/>
          <w:spacing w:val="6"/>
          <w:rtl w:val="true"/>
        </w:rPr>
        <w:t xml:space="preserve"> (</w:t>
      </w:r>
      <w:r>
        <w:rPr>
          <w:rFonts w:cs="Miriam" w:ascii="Arial TUR;Arial Unicode MS" w:hAnsi="Arial TUR;Arial Unicode MS"/>
          <w:spacing w:val="6"/>
        </w:rPr>
        <w:t>2005</w:t>
      </w:r>
      <w:r>
        <w:rPr>
          <w:rFonts w:cs="Miriam" w:ascii="Arial TUR;Arial Unicode MS" w:hAnsi="Arial TUR;Arial Unicode MS"/>
          <w:spacing w:val="6"/>
          <w:rtl w:val="true"/>
        </w:rPr>
        <w:t xml:space="preserve">)). </w:t>
      </w:r>
      <w:r>
        <w:rPr>
          <w:rFonts w:ascii="Arial TUR;Arial Unicode MS" w:hAnsi="Arial TUR;Arial Unicode MS" w:cs="Miriam"/>
          <w:spacing w:val="6"/>
          <w:rtl w:val="true"/>
        </w:rPr>
        <w:t>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הקשר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ההדוק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בוחן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עוצמת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הקשר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שבין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העבירות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ולא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השאלה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האם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ניתנות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להפרדה</w:t>
      </w:r>
      <w:r>
        <w:rPr>
          <w:rFonts w:cs="Miriam" w:ascii="Arial TUR;Arial Unicode MS" w:hAnsi="Arial TUR;Arial Unicode MS"/>
          <w:spacing w:val="6"/>
          <w:rtl w:val="true"/>
        </w:rPr>
        <w:t xml:space="preserve">. </w:t>
      </w:r>
      <w:r>
        <w:rPr>
          <w:rFonts w:ascii="Arial TUR;Arial Unicode MS" w:hAnsi="Arial TUR;Arial Unicode MS" w:cs="Miriam"/>
          <w:spacing w:val="6"/>
          <w:rtl w:val="true"/>
        </w:rPr>
        <w:t>בהתאם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לכך</w:t>
      </w:r>
      <w:r>
        <w:rPr>
          <w:rFonts w:cs="Miriam" w:ascii="Arial TUR;Arial Unicode MS" w:hAnsi="Arial TUR;Arial Unicode MS"/>
          <w:spacing w:val="6"/>
          <w:rtl w:val="true"/>
        </w:rPr>
        <w:t>,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כאמור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ייתכן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כי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עבריין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יבצע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מספר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רב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פעולות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שניתן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להפריד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ביניהן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ושהוא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אף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יכול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היה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לחדול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לאחר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ביצוע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כל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אחת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מהן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>(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כך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שאין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לראות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בהן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מעשה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אחד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 xml:space="preserve">),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אך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נכון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יהיה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לראות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בהן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חלק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מתוכנית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עבריינית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אחת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>(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ולכן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גם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אירוע</w:t>
      </w:r>
      <w:r>
        <w:rPr>
          <w:rFonts w:ascii="Arial TUR;Arial Unicode MS" w:hAnsi="Arial TUR;Arial Unicode MS" w:eastAsia="Arial TUR;Arial Unicode MS" w:cs="Arial TUR;Arial Unicode MS"/>
          <w:b/>
          <w:b/>
          <w:bCs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b/>
          <w:b/>
          <w:bCs/>
          <w:spacing w:val="6"/>
          <w:rtl w:val="true"/>
        </w:rPr>
        <w:t>אחד</w:t>
      </w:r>
      <w:r>
        <w:rPr>
          <w:rFonts w:cs="Miriam" w:ascii="Arial TUR;Arial Unicode MS" w:hAnsi="Arial TUR;Arial Unicode MS"/>
          <w:b/>
          <w:bCs/>
          <w:spacing w:val="6"/>
          <w:rtl w:val="true"/>
        </w:rPr>
        <w:t>).</w:t>
      </w:r>
      <w:r>
        <w:rPr>
          <w:rFonts w:cs="Miriam" w:ascii="Arial TUR;Arial Unicode MS" w:hAnsi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אני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סבורה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כי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שימוש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הקשר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ההדוק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יסייע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בהבנייתו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מעשה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הענישה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ויחד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עם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זאת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יותיר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בידיו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בית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המשפט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שיקול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הדעת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הנדרש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לצורך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מתן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תשובה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לשאלה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האם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יש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לראות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במסכת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העבריינית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שלפניו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אירוע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אחד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מספר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אירועים</w:t>
      </w:r>
      <w:r>
        <w:rPr>
          <w:rFonts w:cs="Miriam" w:ascii="Arial TUR;Arial Unicode MS" w:hAnsi="Arial TUR;Arial Unicode MS"/>
          <w:spacing w:val="6"/>
          <w:rtl w:val="true"/>
        </w:rPr>
        <w:t xml:space="preserve">. </w:t>
      </w:r>
      <w:r>
        <w:rPr>
          <w:rFonts w:ascii="Arial TUR;Arial Unicode MS" w:hAnsi="Arial TUR;Arial Unicode MS" w:cs="Miriam"/>
          <w:spacing w:val="6"/>
          <w:rtl w:val="true"/>
        </w:rPr>
        <w:t>למעשה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יש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להבין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נקודת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המוצא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תיקון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</w:rPr>
        <w:t>113</w:t>
      </w:r>
      <w:r>
        <w:rPr>
          <w:rFonts w:cs="Miriam" w:ascii="Arial TUR;Arial Unicode MS" w:hAnsi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כמחייבת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בית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המשפט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להכיר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בזיקת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הקשר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בין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עבירות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שונות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ולראות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בהן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  <w:rtl w:val="true"/>
        </w:rPr>
        <w:t>"</w:t>
      </w:r>
      <w:r>
        <w:rPr>
          <w:rFonts w:ascii="Arial TUR;Arial Unicode MS" w:hAnsi="Arial TUR;Arial Unicode MS" w:cs="Miriam"/>
          <w:spacing w:val="6"/>
          <w:rtl w:val="true"/>
        </w:rPr>
        <w:t>אירוע</w:t>
      </w:r>
      <w:r>
        <w:rPr>
          <w:rFonts w:cs="Miriam" w:ascii="Arial TUR;Arial Unicode MS" w:hAnsi="Arial TUR;Arial Unicode MS"/>
          <w:spacing w:val="6"/>
          <w:rtl w:val="true"/>
        </w:rPr>
        <w:t xml:space="preserve">" </w:t>
      </w:r>
      <w:r>
        <w:rPr>
          <w:rFonts w:ascii="Arial TUR;Arial Unicode MS" w:hAnsi="Arial TUR;Arial Unicode MS" w:cs="Miriam"/>
          <w:spacing w:val="6"/>
          <w:rtl w:val="true"/>
        </w:rPr>
        <w:t>אחד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לצורך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הבנייתו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שיקול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הדעת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בענישה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למרות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שמבחינה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טכנית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  <w:rtl w:val="true"/>
        </w:rPr>
        <w:t>(</w:t>
      </w:r>
      <w:r>
        <w:rPr>
          <w:rFonts w:ascii="Arial TUR;Arial Unicode MS" w:hAnsi="Arial TUR;Arial Unicode MS" w:cs="Miriam"/>
          <w:spacing w:val="6"/>
          <w:rtl w:val="true"/>
        </w:rPr>
        <w:t>כלומר</w:t>
      </w:r>
      <w:r>
        <w:rPr>
          <w:rFonts w:cs="Miriam" w:ascii="Arial TUR;Arial Unicode MS" w:hAnsi="Arial TUR;Arial Unicode MS"/>
          <w:spacing w:val="6"/>
          <w:rtl w:val="true"/>
        </w:rPr>
        <w:t xml:space="preserve">, </w:t>
      </w:r>
      <w:r>
        <w:rPr>
          <w:rFonts w:ascii="Arial TUR;Arial Unicode MS" w:hAnsi="Arial TUR;Arial Unicode MS" w:cs="Miriam"/>
          <w:spacing w:val="6"/>
          <w:rtl w:val="true"/>
        </w:rPr>
        <w:t>לפי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המבחן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הצורני</w:t>
      </w:r>
      <w:r>
        <w:rPr>
          <w:rFonts w:cs="Miriam" w:ascii="Arial TUR;Arial Unicode MS" w:hAnsi="Arial TUR;Arial Unicode MS"/>
          <w:spacing w:val="6"/>
          <w:rtl w:val="true"/>
        </w:rPr>
        <w:t>-</w:t>
      </w:r>
      <w:r>
        <w:rPr>
          <w:rFonts w:ascii="Arial TUR;Arial Unicode MS" w:hAnsi="Arial TUR;Arial Unicode MS" w:cs="Miriam"/>
          <w:spacing w:val="6"/>
          <w:rtl w:val="true"/>
        </w:rPr>
        <w:t>עובדתי</w:t>
      </w:r>
      <w:r>
        <w:rPr>
          <w:rFonts w:cs="Miriam" w:ascii="Arial TUR;Arial Unicode MS" w:hAnsi="Arial TUR;Arial Unicode MS"/>
          <w:spacing w:val="6"/>
          <w:rtl w:val="true"/>
        </w:rPr>
        <w:t>)</w:t>
      </w:r>
      <w:r>
        <w:rPr>
          <w:rFonts w:ascii="Arial TUR;Arial Unicode MS" w:hAnsi="Arial TUR;Arial Unicode MS" w:cs="Miriam"/>
          <w:spacing w:val="6"/>
          <w:rtl w:val="true"/>
        </w:rPr>
        <w:t>ניתן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היה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לראות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ascii="Arial TUR;Arial Unicode MS" w:hAnsi="Arial TUR;Arial Unicode MS" w:cs="Miriam"/>
          <w:spacing w:val="6"/>
          <w:rtl w:val="true"/>
        </w:rPr>
        <w:t>בהן</w:t>
      </w:r>
      <w:r>
        <w:rPr>
          <w:rFonts w:ascii="Arial TUR;Arial Unicode MS" w:hAnsi="Arial TUR;Arial Unicode MS" w:eastAsia="Arial TUR;Arial Unicode MS" w:cs="Arial TUR;Arial Unicode MS"/>
          <w:spacing w:val="6"/>
          <w:rtl w:val="true"/>
        </w:rPr>
        <w:t xml:space="preserve"> </w:t>
      </w:r>
      <w:r>
        <w:rPr>
          <w:rFonts w:cs="Miriam" w:ascii="Arial TUR;Arial Unicode MS" w:hAnsi="Arial TUR;Arial Unicode MS"/>
          <w:spacing w:val="6"/>
          <w:rtl w:val="true"/>
        </w:rPr>
        <w:t>"</w:t>
      </w:r>
      <w:r>
        <w:rPr>
          <w:rFonts w:ascii="Arial TUR;Arial Unicode MS" w:hAnsi="Arial TUR;Arial Unicode MS" w:cs="Miriam"/>
          <w:spacing w:val="6"/>
          <w:rtl w:val="true"/>
        </w:rPr>
        <w:t>מעשים</w:t>
      </w:r>
      <w:r>
        <w:rPr>
          <w:rFonts w:cs="Miriam" w:ascii="Arial TUR;Arial Unicode MS" w:hAnsi="Arial TUR;Arial Unicode MS"/>
          <w:spacing w:val="6"/>
          <w:rtl w:val="true"/>
        </w:rPr>
        <w:t xml:space="preserve">" </w:t>
      </w:r>
      <w:r>
        <w:rPr>
          <w:rFonts w:ascii="Arial TUR;Arial Unicode MS" w:hAnsi="Arial TUR;Arial Unicode MS" w:cs="Miriam"/>
          <w:spacing w:val="6"/>
          <w:rtl w:val="true"/>
        </w:rPr>
        <w:t>נפרדים</w:t>
      </w:r>
      <w:r>
        <w:rPr>
          <w:rFonts w:cs="Miriam" w:ascii="Arial TUR;Arial Unicode MS" w:hAnsi="Arial TUR;Arial Unicode MS"/>
          <w:spacing w:val="6"/>
          <w:rtl w:val="true"/>
        </w:rPr>
        <w:t>"</w:t>
      </w:r>
      <w:r>
        <w:rPr>
          <w:rFonts w:cs="Arial TUR;Arial Unicode MS" w:ascii="Arial TUR;Arial Unicode MS" w:hAnsi="Arial TUR;Arial Unicode MS"/>
          <w:b/>
          <w:bCs/>
          <w:spacing w:val="10"/>
          <w:rtl w:val="true"/>
        </w:rPr>
        <w:t>(</w:t>
      </w:r>
      <w:r>
        <w:rPr>
          <w:rFonts w:ascii="Arial TUR;Arial Unicode MS" w:hAnsi="Arial TUR;Arial Unicode MS" w:cs="Arial TUR;Arial Unicode MS"/>
          <w:b/>
          <w:b/>
          <w:bCs/>
          <w:spacing w:val="10"/>
          <w:rtl w:val="true"/>
        </w:rPr>
        <w:t>ההדגשות אינן במקור</w:t>
      </w:r>
      <w:r>
        <w:rPr>
          <w:rFonts w:cs="Arial TUR;Arial Unicode MS" w:ascii="Arial TUR;Arial Unicode MS" w:hAnsi="Arial TUR;Arial Unicode MS"/>
          <w:b/>
          <w:bCs/>
          <w:spacing w:val="10"/>
          <w:rtl w:val="true"/>
        </w:rPr>
        <w:t xml:space="preserve">- </w:t>
      </w:r>
      <w:r>
        <w:rPr>
          <w:rFonts w:ascii="Arial TUR;Arial Unicode MS" w:hAnsi="Arial TUR;Arial Unicode MS" w:cs="Arial TUR;Arial Unicode MS"/>
          <w:b/>
          <w:b/>
          <w:bCs/>
          <w:spacing w:val="10"/>
          <w:rtl w:val="true"/>
        </w:rPr>
        <w:t>א</w:t>
      </w:r>
      <w:r>
        <w:rPr>
          <w:rFonts w:cs="Arial TUR;Arial Unicode MS" w:ascii="Arial TUR;Arial Unicode MS" w:hAnsi="Arial TUR;Arial Unicode MS"/>
          <w:b/>
          <w:bCs/>
          <w:spacing w:val="10"/>
          <w:rtl w:val="true"/>
        </w:rPr>
        <w:t>.</w:t>
      </w:r>
      <w:r>
        <w:rPr>
          <w:rFonts w:ascii="Arial TUR;Arial Unicode MS" w:hAnsi="Arial TUR;Arial Unicode MS" w:cs="Arial TUR;Arial Unicode MS"/>
          <w:b/>
          <w:b/>
          <w:bCs/>
          <w:spacing w:val="10"/>
          <w:rtl w:val="true"/>
        </w:rPr>
        <w:t>ל</w:t>
      </w:r>
      <w:r>
        <w:rPr>
          <w:rFonts w:cs="Arial TUR;Arial Unicode MS" w:ascii="Arial TUR;Arial Unicode MS" w:hAnsi="Arial TUR;Arial Unicode MS"/>
          <w:b/>
          <w:bCs/>
          <w:spacing w:val="10"/>
          <w:rtl w:val="true"/>
        </w:rPr>
        <w:t>.)</w:t>
      </w:r>
      <w:r>
        <w:rPr>
          <w:rFonts w:cs="Miriam" w:ascii="Arial TUR;Arial Unicode MS" w:hAnsi="Arial TUR;Arial Unicode MS"/>
          <w:spacing w:val="6"/>
          <w:rtl w:val="true"/>
        </w:rPr>
        <w:t>.</w:t>
      </w:r>
    </w:p>
    <w:p>
      <w:pPr>
        <w:pStyle w:val="Normal"/>
        <w:spacing w:lineRule="auto" w:line="276" w:before="0" w:after="160"/>
        <w:ind w:start="1440" w:end="851"/>
        <w:jc w:val="both"/>
        <w:rPr>
          <w:rFonts w:ascii="Calibri" w:hAnsi="Calibri" w:cs="Miriam"/>
          <w:spacing w:val="6"/>
        </w:rPr>
      </w:pPr>
      <w:r>
        <w:rPr>
          <w:rFonts w:cs="Miriam" w:ascii="Calibri" w:hAnsi="Calibri"/>
          <w:spacing w:val="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הניתנים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להפרדה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במסקנה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ולסווג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b/>
          <w:bCs/>
          <w:rtl w:val="true"/>
        </w:rPr>
        <w:t xml:space="preserve">".  </w:t>
      </w:r>
      <w:r>
        <w:rPr>
          <w:rFonts w:ascii="Calibri" w:hAnsi="Calibri" w:cs="Calibri"/>
          <w:rtl w:val="true"/>
        </w:rPr>
        <w:t>ויודגש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כמשמעותו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עובדתי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כמשמעותם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אבר</w:t>
      </w:r>
      <w:r>
        <w:rPr>
          <w:rFonts w:cs="Calibri" w:ascii="Calibri" w:hAnsi="Calibri"/>
          <w:rtl w:val="true"/>
        </w:rPr>
        <w:t xml:space="preserve">: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1513" w:end="993"/>
        <w:jc w:val="both"/>
        <w:rPr/>
      </w:pPr>
      <w:r>
        <w:rPr>
          <w:rFonts w:cs="Miriam"/>
          <w:spacing w:val="6"/>
          <w:rtl w:val="true"/>
        </w:rPr>
        <w:t>"...</w:t>
      </w:r>
      <w:r>
        <w:rPr>
          <w:rFonts w:cs="Miriam"/>
          <w:spacing w:val="6"/>
          <w:rtl w:val="true"/>
        </w:rPr>
        <w:t>במקביל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לכך</w:t>
      </w:r>
      <w:r>
        <w:rPr>
          <w:rFonts w:cs="Miriam"/>
          <w:spacing w:val="6"/>
          <w:rtl w:val="true"/>
        </w:rPr>
        <w:t xml:space="preserve">, </w:t>
      </w:r>
      <w:r>
        <w:rPr>
          <w:rFonts w:cs="Miriam"/>
          <w:spacing w:val="6"/>
          <w:rtl w:val="true"/>
        </w:rPr>
        <w:t>כאשר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בית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המשפט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יצטרך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להשיב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על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השאלה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האם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בגדרו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של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אותו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"</w:t>
      </w:r>
      <w:r>
        <w:rPr>
          <w:rFonts w:cs="Miriam"/>
          <w:spacing w:val="6"/>
          <w:rtl w:val="true"/>
        </w:rPr>
        <w:t>אירוע</w:t>
      </w:r>
      <w:r>
        <w:rPr>
          <w:rFonts w:cs="Miriam"/>
          <w:spacing w:val="6"/>
          <w:rtl w:val="true"/>
        </w:rPr>
        <w:t xml:space="preserve">" </w:t>
      </w:r>
      <w:r>
        <w:rPr>
          <w:rFonts w:cs="Miriam"/>
          <w:spacing w:val="6"/>
          <w:rtl w:val="true"/>
        </w:rPr>
        <w:t>התבצע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"</w:t>
      </w:r>
      <w:r>
        <w:rPr>
          <w:rFonts w:cs="Miriam"/>
          <w:spacing w:val="6"/>
          <w:rtl w:val="true"/>
        </w:rPr>
        <w:t>מעשה</w:t>
      </w:r>
      <w:r>
        <w:rPr>
          <w:rFonts w:cs="Miriam"/>
          <w:spacing w:val="6"/>
          <w:rtl w:val="true"/>
        </w:rPr>
        <w:t xml:space="preserve">" </w:t>
      </w:r>
      <w:r>
        <w:rPr>
          <w:rFonts w:cs="Miriam"/>
          <w:spacing w:val="6"/>
          <w:rtl w:val="true"/>
        </w:rPr>
        <w:t>אחד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או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מספר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"</w:t>
      </w:r>
      <w:r>
        <w:rPr>
          <w:rFonts w:cs="Miriam"/>
          <w:spacing w:val="6"/>
          <w:rtl w:val="true"/>
        </w:rPr>
        <w:t>מעשים</w:t>
      </w:r>
      <w:r>
        <w:rPr>
          <w:rFonts w:cs="Miriam"/>
          <w:spacing w:val="6"/>
          <w:rtl w:val="true"/>
        </w:rPr>
        <w:t>" (</w:t>
      </w:r>
      <w:r>
        <w:rPr>
          <w:rFonts w:cs="Miriam"/>
          <w:spacing w:val="6"/>
          <w:rtl w:val="true"/>
        </w:rPr>
        <w:t>לצרכיו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של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סעיף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</w:rPr>
        <w:t>186</w:t>
      </w:r>
      <w:r>
        <w:rPr>
          <w:rFonts w:cs="Miriam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ל</w:t>
      </w:r>
      <w:hyperlink r:id="rId47">
        <w:r>
          <w:rPr>
            <w:rStyle w:val="Hyperlink"/>
            <w:rFonts w:cs="Miriam"/>
            <w:color w:val="0000FF"/>
            <w:spacing w:val="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6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6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6"/>
            <w:u w:val="single"/>
            <w:rtl w:val="true"/>
          </w:rPr>
          <w:t>הפלילי</w:t>
        </w:r>
      </w:hyperlink>
      <w:r>
        <w:rPr>
          <w:rFonts w:cs="Miriam"/>
          <w:spacing w:val="6"/>
          <w:rtl w:val="true"/>
        </w:rPr>
        <w:t xml:space="preserve">) </w:t>
      </w:r>
      <w:r>
        <w:rPr>
          <w:rFonts w:cs="Miriam"/>
          <w:spacing w:val="6"/>
          <w:rtl w:val="true"/>
        </w:rPr>
        <w:t>הוא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יכריע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בשאלה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זו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בהתאם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למבחנים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שכבר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פותחו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בפסיקה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לעניין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זה</w:t>
      </w:r>
      <w:r>
        <w:rPr>
          <w:rFonts w:cs="Miriam"/>
          <w:spacing w:val="6"/>
          <w:rtl w:val="true"/>
        </w:rPr>
        <w:t xml:space="preserve">, </w:t>
      </w:r>
      <w:r>
        <w:rPr>
          <w:rFonts w:cs="Miriam"/>
          <w:spacing w:val="6"/>
          <w:rtl w:val="true"/>
        </w:rPr>
        <w:t>ושאותם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מונה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אף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חברי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(</w:t>
      </w:r>
      <w:r>
        <w:rPr>
          <w:rFonts w:cs="Miriam"/>
          <w:spacing w:val="6"/>
          <w:rtl w:val="true"/>
        </w:rPr>
        <w:t>המבחן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הצורני</w:t>
      </w:r>
      <w:r>
        <w:rPr>
          <w:rFonts w:cs="Miriam"/>
          <w:spacing w:val="6"/>
          <w:rtl w:val="true"/>
        </w:rPr>
        <w:t>-</w:t>
      </w:r>
      <w:r>
        <w:rPr>
          <w:rFonts w:cs="Miriam"/>
          <w:spacing w:val="6"/>
          <w:rtl w:val="true"/>
        </w:rPr>
        <w:t>עובדתי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והמבחן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המתמקד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בערך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החברתי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המוגן</w:t>
      </w:r>
      <w:r>
        <w:rPr>
          <w:rFonts w:cs="Miriam"/>
          <w:spacing w:val="6"/>
          <w:rtl w:val="true"/>
        </w:rPr>
        <w:t xml:space="preserve">, </w:t>
      </w:r>
      <w:r>
        <w:rPr>
          <w:rFonts w:cs="Miriam"/>
          <w:spacing w:val="6"/>
          <w:rtl w:val="true"/>
        </w:rPr>
        <w:t>המכונה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גם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המבחן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המוסרי</w:t>
      </w:r>
      <w:r>
        <w:rPr>
          <w:rFonts w:cs="Miriam"/>
          <w:spacing w:val="6"/>
          <w:rtl w:val="true"/>
        </w:rPr>
        <w:t xml:space="preserve">)".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pacing w:val="6"/>
          <w:highlight w:val="yellow"/>
        </w:rPr>
      </w:pPr>
      <w:r>
        <w:rPr>
          <w:rFonts w:cs="Calibri" w:ascii="Calibri" w:hAnsi="Calibri"/>
          <w:b/>
          <w:bCs/>
          <w:spacing w:val="6"/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נפרדים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עובדתי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לתפיסתי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ולראותם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רבת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פריטים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נתבקש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יוצא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ההופך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שתוכננה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מהעובדה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ניסוי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כלים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בוצעו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בפער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כשבועיים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cs="Calibri" w:ascii="Calibri" w:hAnsi="Calibri"/>
          <w:b/>
          <w:bCs/>
          <w:rtl w:val="true"/>
        </w:rPr>
        <w:t>);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הסקתי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עוצמת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":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מרצף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cs="Calibri"/>
          <w:b/>
          <w:b/>
          <w:bCs/>
          <w:rtl w:val="true"/>
        </w:rPr>
        <w:t>הטומן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כמשמעותם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186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4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א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ראויות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מהתגלגלותם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276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ארוכה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שיצאו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אוזכרו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בפסקה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12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לעיל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מגלה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קמא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חמאיל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ושרקאווי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לטעמי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b/>
          <w:b/>
          <w:bCs/>
          <w:rtl w:val="true"/>
        </w:rPr>
        <w:t>בענין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זה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אציין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מקובלת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טענת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המדינה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יש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להחמיר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מהרגיל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אלה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הסוחרים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בכלי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אוטומטיים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אשר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הנזק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הפוטנציאלי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מהם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הוא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רב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במיוחד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ועולה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לאין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ערוך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זה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אקדח</w:t>
      </w:r>
      <w:r>
        <w:rPr>
          <w:rFonts w:cs="FrankRuehl" w:ascii="Calibri" w:hAnsi="Calibri"/>
          <w:sz w:val="28"/>
          <w:szCs w:val="28"/>
          <w:rtl w:val="true"/>
        </w:rPr>
        <w:t xml:space="preserve">..."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 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עלאא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18.11.07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513" w:end="1276"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במיוחד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בימינו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מקורו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מפוקפק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למפגעים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למיניהם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הוכיחו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להשתמש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במקומות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סואנים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מהירי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לפיכך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התרענו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ונחזור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ונתריע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הפעם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באובדן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חירותו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ממושכת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b/>
          <w:b/>
          <w:bCs/>
          <w:rtl w:val="true"/>
        </w:rPr>
        <w:t>כך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בדרך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כלל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ומקל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וחומר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בעניינו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המערער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אשר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כבר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נמצא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בעבר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אשם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בהחזקת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שלא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כדין</w:t>
      </w:r>
      <w:r>
        <w:rPr>
          <w:rFonts w:cs="Miriam" w:ascii="Calibri" w:hAnsi="Calibri"/>
          <w:b/>
          <w:bCs/>
          <w:rtl w:val="true"/>
        </w:rPr>
        <w:t>...".</w:t>
      </w:r>
      <w:r>
        <w:rPr>
          <w:rFonts w:cs="Calibri" w:ascii="Calibri" w:hAnsi="Calibri"/>
          <w:rtl w:val="true"/>
        </w:rPr>
        <w:t xml:space="preserve">   (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.). 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80"/>
        <w:ind w:end="0"/>
        <w:jc w:val="both"/>
        <w:rPr/>
      </w:pP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48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הודאתו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שעניינן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b/>
          <w:b/>
          <w:bCs/>
          <w:rtl w:val="true"/>
          <w:lang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אלו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עובדות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המקרה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21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ללא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פלילי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M-16</w:t>
      </w:r>
      <w:r>
        <w:rPr>
          <w:rFonts w:cs="Calibri" w:ascii="Calibri" w:hAnsi="Calibri"/>
          <w:rtl w:val="true"/>
          <w:lang w:eastAsia="he-IL"/>
        </w:rPr>
        <w:t xml:space="preserve"> (</w:t>
      </w:r>
      <w:r>
        <w:rPr>
          <w:rFonts w:ascii="Calibri" w:hAnsi="Calibri" w:cs="Calibri"/>
          <w:rtl w:val="true"/>
          <w:lang w:eastAsia="he-IL"/>
        </w:rPr>
        <w:t>תמורת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49,000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ובפעם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השלישית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M-16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cs="Calibri" w:ascii="Calibri" w:hAnsi="Calibri"/>
          <w:b/>
          <w:bCs/>
        </w:rPr>
        <w:t>FN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תמורתם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סוכם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תשלום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בסך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121,000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Calibri" w:ascii="Calibri" w:hAnsi="Calibri"/>
          <w:rtl w:val="true"/>
          <w:lang w:eastAsia="he-IL"/>
        </w:rPr>
        <w:t xml:space="preserve">). </w:t>
      </w:r>
      <w:r>
        <w:rPr>
          <w:rFonts w:ascii="Calibri" w:hAnsi="Calibri" w:cs="Calibri"/>
          <w:b/>
          <w:b/>
          <w:bCs/>
          <w:rtl w:val="true"/>
          <w:lang w:eastAsia="he-IL"/>
        </w:rPr>
        <w:t>כמצוין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לעיל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בפרשה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זו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ציין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כב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השופט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מזוז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ראוי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ככלל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להחמיר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בענישת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אלו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הסוחרים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אוטומטיים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בהתייחסו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לעונשו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צוין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אך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מהווה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חריג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המצדיק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התערבותה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ערכאת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הערעור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3726/12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זיידאן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7.4.13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6210/10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23.3.11</w:t>
      </w:r>
      <w:r>
        <w:rPr>
          <w:rFonts w:cs="Calibri" w:ascii="Calibri" w:hAnsi="Calibri"/>
          <w:rtl w:val="true"/>
        </w:rPr>
        <w:t xml:space="preserve"> )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60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63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),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AUDI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..",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8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יאסין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5.12.11</w:t>
      </w:r>
      <w:r>
        <w:rPr>
          <w:rFonts w:cs="Calibri" w:ascii="Calibri" w:hAnsi="Calibri"/>
          <w:rtl w:val="true"/>
        </w:rPr>
        <w:t xml:space="preserve"> ) 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המשיבים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עונשי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>),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lang w:eastAsia="he-IL"/>
        </w:rPr>
        <w:t>32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>).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6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),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67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),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11,550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הנעדר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906/11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ג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ומרכזי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מפחית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כהוא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וסכנתו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½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7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מקובלני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שהיקלעות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הפעלת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תנאי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ארגמן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לאחריו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hyperlink r:id="rId7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הושמט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75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77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78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עקרוניות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49/80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מסילתי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16.6.80</w:t>
      </w:r>
      <w:r>
        <w:rPr>
          <w:rtl w:val="true"/>
        </w:rPr>
        <w:t>):</w:t>
      </w:r>
    </w:p>
    <w:p>
      <w:pPr>
        <w:pStyle w:val="Normal"/>
        <w:spacing w:lineRule="auto" w:line="276" w:before="0" w:after="160"/>
        <w:ind w:start="1513" w:end="156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כידוע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תנאי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מופעל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בתקופת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התנאי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שנקבעה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בגזר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הדין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u w:val="single"/>
          <w:rtl w:val="true"/>
        </w:rPr>
        <w:t>סעיף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cs="Miriam" w:ascii="Calibri" w:hAnsi="Calibri"/>
          <w:u w:val="single"/>
        </w:rPr>
        <w:t>52</w:t>
      </w:r>
      <w:r>
        <w:rPr>
          <w:rFonts w:cs="Miriam" w:ascii="Calibri" w:hAnsi="Calibri"/>
          <w:u w:val="single"/>
          <w:rtl w:val="true"/>
        </w:rPr>
        <w:t>(</w:t>
      </w:r>
      <w:r>
        <w:rPr>
          <w:rFonts w:ascii="Calibri" w:hAnsi="Calibri" w:cs="Miriam"/>
          <w:u w:val="single"/>
          <w:rtl w:val="true"/>
        </w:rPr>
        <w:t>ב</w:t>
      </w:r>
      <w:r>
        <w:rPr>
          <w:rFonts w:cs="Miriam" w:ascii="Calibri" w:hAnsi="Calibri"/>
          <w:u w:val="single"/>
          <w:rtl w:val="true"/>
        </w:rPr>
        <w:t>)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</w:t>
      </w:r>
      <w:hyperlink r:id="rId80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העונשין</w:t>
        </w:r>
      </w:hyperlink>
      <w:r>
        <w:rPr>
          <w:rFonts w:cs="Miriam" w:ascii="Calibri" w:hAnsi="Calibri"/>
          <w:rtl w:val="true"/>
        </w:rPr>
        <w:t xml:space="preserve">). </w:t>
      </w:r>
      <w:r>
        <w:rPr>
          <w:rFonts w:ascii="Calibri" w:hAnsi="Calibri" w:cs="Miriam"/>
          <w:rtl w:val="true"/>
        </w:rPr>
        <w:t>במצב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הדברים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הטיפוסי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הזהה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במספרה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שפורטה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בתנאי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זהו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הרגיל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היחיד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הפסיקה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הרחיבה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המשמעות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u w:val="single"/>
          <w:rtl w:val="true"/>
        </w:rPr>
        <w:t>לסעיף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cs="Miriam" w:ascii="Calibri" w:hAnsi="Calibri"/>
          <w:u w:val="single"/>
        </w:rPr>
        <w:t>52</w:t>
      </w:r>
      <w:r>
        <w:rPr>
          <w:rFonts w:cs="Miriam" w:ascii="Calibri" w:hAnsi="Calibri"/>
          <w:u w:val="single"/>
          <w:rtl w:val="true"/>
        </w:rPr>
        <w:t>(</w:t>
      </w:r>
      <w:r>
        <w:rPr>
          <w:rFonts w:ascii="Calibri" w:hAnsi="Calibri" w:cs="Miriam"/>
          <w:u w:val="single"/>
          <w:rtl w:val="true"/>
        </w:rPr>
        <w:t>ב</w:t>
      </w:r>
      <w:r>
        <w:rPr>
          <w:rFonts w:cs="Miriam" w:ascii="Calibri" w:hAnsi="Calibri"/>
          <w:u w:val="single"/>
          <w:rtl w:val="true"/>
        </w:rPr>
        <w:t>)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</w:t>
      </w:r>
      <w:hyperlink r:id="rId81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וקבעה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התנאי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מופר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הועמד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הזהה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במספרה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התנאי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פיה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ובלבד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שהעבירה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הורשע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הלכה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למעשה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כוללת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בחובה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מבחינת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יסודותיה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את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היסודות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הקבועים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התנאי</w:t>
      </w:r>
      <w:r>
        <w:rPr>
          <w:rFonts w:cs="Miriam" w:ascii="Calibri" w:hAnsi="Calibri"/>
          <w:rtl w:val="true"/>
        </w:rPr>
        <w:t xml:space="preserve">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.). 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</w:t>
      </w:r>
      <w:r>
        <w:rPr>
          <w:b/>
          <w:b/>
          <w:bCs/>
          <w:spacing w:val="8"/>
          <w:rtl w:val="true"/>
        </w:rPr>
        <w:t>ל</w:t>
      </w:r>
      <w:r>
        <w:rPr>
          <w:rtl w:val="true"/>
          <w:lang w:eastAsia="en-GB"/>
        </w:rPr>
        <w:t xml:space="preserve">. </w:t>
      </w:r>
      <w:r>
        <w:rPr>
          <w:rtl w:val="true"/>
          <w:lang w:eastAsia="en-GB"/>
        </w:rPr>
        <w:t>נשאלת</w:t>
      </w:r>
      <w:r>
        <w:rPr>
          <w:rtl w:val="true"/>
          <w:lang w:eastAsia="en-GB"/>
        </w:rPr>
        <w:t xml:space="preserve">, </w:t>
      </w:r>
      <w:r>
        <w:rPr>
          <w:rtl w:val="true"/>
          <w:lang w:eastAsia="en-GB"/>
        </w:rPr>
        <w:t>אפוא</w:t>
      </w:r>
      <w:r>
        <w:rPr>
          <w:rtl w:val="true"/>
          <w:lang w:eastAsia="en-GB"/>
        </w:rPr>
        <w:t xml:space="preserve">, </w:t>
      </w:r>
      <w:r>
        <w:rPr>
          <w:rtl w:val="true"/>
          <w:lang w:eastAsia="en-GB"/>
        </w:rPr>
        <w:t>השאלה</w:t>
      </w:r>
      <w:r>
        <w:rPr>
          <w:rtl w:val="true"/>
          <w:lang w:eastAsia="en-GB"/>
        </w:rPr>
        <w:t xml:space="preserve">, </w:t>
      </w:r>
      <w:r>
        <w:rPr>
          <w:rtl w:val="true"/>
          <w:lang w:eastAsia="en-GB"/>
        </w:rPr>
        <w:t>האם</w:t>
      </w:r>
      <w:r>
        <w:rPr>
          <w:rFonts w:cs="Times New Roman"/>
          <w:rtl w:val="true"/>
          <w:lang w:eastAsia="en-GB"/>
        </w:rPr>
        <w:t xml:space="preserve"> </w:t>
      </w:r>
      <w:r>
        <w:rPr>
          <w:b/>
          <w:b/>
          <w:bCs/>
          <w:rtl w:val="true"/>
          <w:lang w:eastAsia="en-GB"/>
        </w:rPr>
        <w:t>ה</w:t>
      </w:r>
      <w:r>
        <w:rPr>
          <w:b/>
          <w:bCs/>
          <w:rtl w:val="true"/>
          <w:lang w:eastAsia="en-GB"/>
        </w:rPr>
        <w:t>"</w:t>
      </w:r>
      <w:r>
        <w:rPr>
          <w:b/>
          <w:b/>
          <w:bCs/>
          <w:rtl w:val="true"/>
          <w:lang w:eastAsia="en-GB"/>
        </w:rPr>
        <w:t>תנאי</w:t>
      </w:r>
      <w:r>
        <w:rPr>
          <w:rFonts w:cs="Times New Roman"/>
          <w:b/>
          <w:b/>
          <w:bCs/>
          <w:rtl w:val="true"/>
          <w:lang w:eastAsia="en-GB"/>
        </w:rPr>
        <w:t xml:space="preserve"> </w:t>
      </w:r>
      <w:r>
        <w:rPr>
          <w:b/>
          <w:b/>
          <w:bCs/>
          <w:rtl w:val="true"/>
          <w:lang w:eastAsia="en-GB"/>
        </w:rPr>
        <w:t>המפעיל</w:t>
      </w:r>
      <w:r>
        <w:rPr>
          <w:b/>
          <w:bCs/>
          <w:rtl w:val="true"/>
          <w:lang w:eastAsia="en-GB"/>
        </w:rPr>
        <w:t xml:space="preserve">" </w:t>
      </w:r>
      <w:r>
        <w:rPr>
          <w:rtl w:val="true"/>
          <w:lang w:eastAsia="en-GB"/>
        </w:rPr>
        <w:t>מתקיים</w:t>
      </w:r>
      <w:r>
        <w:rPr>
          <w:rFonts w:cs="Times New Roman"/>
          <w:rtl w:val="true"/>
          <w:lang w:eastAsia="en-GB"/>
        </w:rPr>
        <w:t xml:space="preserve"> </w:t>
      </w:r>
      <w:r>
        <w:rPr>
          <w:rtl w:val="true"/>
          <w:lang w:eastAsia="en-GB"/>
        </w:rPr>
        <w:t>בתיק</w:t>
      </w:r>
      <w:r>
        <w:rPr>
          <w:rFonts w:cs="Times New Roman"/>
          <w:rtl w:val="true"/>
          <w:lang w:eastAsia="en-GB"/>
        </w:rPr>
        <w:t xml:space="preserve"> </w:t>
      </w:r>
      <w:r>
        <w:rPr>
          <w:rtl w:val="true"/>
          <w:lang w:eastAsia="en-GB"/>
        </w:rPr>
        <w:t>שבו</w:t>
      </w:r>
      <w:r>
        <w:rPr>
          <w:rFonts w:cs="Times New Roman"/>
          <w:rtl w:val="true"/>
          <w:lang w:eastAsia="en-GB"/>
        </w:rPr>
        <w:t xml:space="preserve"> </w:t>
      </w:r>
      <w:r>
        <w:rPr>
          <w:rtl w:val="true"/>
          <w:lang w:eastAsia="en-GB"/>
        </w:rPr>
        <w:t>עסקינן</w:t>
      </w:r>
      <w:r>
        <w:rPr>
          <w:rFonts w:cs="Times New Roman"/>
          <w:rtl w:val="true"/>
          <w:lang w:eastAsia="en-GB"/>
        </w:rPr>
        <w:t xml:space="preserve"> </w:t>
      </w:r>
      <w:r>
        <w:rPr>
          <w:rtl w:val="true"/>
          <w:lang w:eastAsia="en-GB"/>
        </w:rPr>
        <w:t>כאן</w:t>
      </w:r>
      <w:r>
        <w:rPr>
          <w:rtl w:val="true"/>
          <w:lang w:eastAsia="en-GB"/>
        </w:rPr>
        <w:t>?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ובניסוח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וההובלה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מעוגנת</w:t>
      </w:r>
      <w:r>
        <w:rPr>
          <w:rFonts w:ascii="Calibri" w:hAnsi="Calibri" w:cs="Calibri"/>
          <w:rtl w:val="true"/>
        </w:rPr>
        <w:t xml:space="preserve"> </w:t>
      </w:r>
      <w:hyperlink r:id="rId8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tbl>
      <w:tblPr>
        <w:bidiVisual w:val="true"/>
        <w:tblW w:w="5778" w:type="dxa"/>
        <w:jc w:val="start"/>
        <w:tblInd w:w="16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17"/>
        <w:gridCol w:w="4261"/>
      </w:tblGrid>
      <w:tr>
        <w:trPr/>
        <w:tc>
          <w:tcPr>
            <w:tcW w:w="1517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snapToGrid w:val="false"/>
              <w:spacing w:lineRule="auto" w:line="360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rtl w:val="true"/>
              </w:rPr>
            </w:r>
          </w:p>
        </w:tc>
        <w:tc>
          <w:tcPr>
            <w:tcW w:w="4261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ind w:end="0"/>
              <w:jc w:val="both"/>
              <w:rPr/>
            </w:pPr>
            <w:r>
              <w:rPr>
                <w:rFonts w:cs="Miriam" w:ascii="Arial TUR;Arial Unicode MS" w:hAnsi="Arial TUR;Arial Unicode MS"/>
                <w:spacing w:val="10"/>
              </w:rPr>
              <w:t>144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>(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א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 xml:space="preserve">)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הרוכש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או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cs="Miriam"/>
                <w:rtl w:val="true"/>
              </w:rPr>
              <w:t>המחזיק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נשק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בלא</w:t>
            </w:r>
            <w:r>
              <w:rPr>
                <w:rFonts w:ascii="Arial TUR;Arial Unicode MS" w:hAnsi="Arial TUR;Arial Unicode MS" w:eastAsia="Arial TUR;Arial Unicode MS" w:cs="Arial TUR;Arial Unicode MS"/>
                <w:b/>
                <w:b/>
                <w:bCs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רשות</w:t>
            </w:r>
            <w:r>
              <w:rPr>
                <w:rFonts w:ascii="Arial TUR;Arial Unicode MS" w:hAnsi="Arial TUR;Arial Unicode MS" w:eastAsia="Arial TUR;Arial Unicode MS" w:cs="Arial TUR;Arial Unicode MS"/>
                <w:b/>
                <w:b/>
                <w:bCs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על</w:t>
            </w:r>
            <w:r>
              <w:rPr>
                <w:rFonts w:ascii="Arial TUR;Arial Unicode MS" w:hAnsi="Arial TUR;Arial Unicode MS" w:eastAsia="Arial TUR;Arial Unicode MS" w:cs="Arial TUR;Arial Unicode MS"/>
                <w:b/>
                <w:b/>
                <w:bCs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פי</w:t>
            </w:r>
            <w:r>
              <w:rPr>
                <w:rFonts w:ascii="Arial TUR;Arial Unicode MS" w:hAnsi="Arial TUR;Arial Unicode MS" w:eastAsia="Arial TUR;Arial Unicode MS" w:cs="Arial TUR;Arial Unicode MS"/>
                <w:b/>
                <w:b/>
                <w:bCs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דין</w:t>
            </w:r>
            <w:r>
              <w:rPr>
                <w:rFonts w:ascii="Arial TUR;Arial Unicode MS" w:hAnsi="Arial TUR;Arial Unicode MS" w:eastAsia="Arial TUR;Arial Unicode MS" w:cs="Arial TUR;Arial Unicode MS"/>
                <w:b/>
                <w:b/>
                <w:bCs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b/>
                <w:b/>
                <w:bCs/>
                <w:spacing w:val="10"/>
                <w:rtl w:val="true"/>
              </w:rPr>
              <w:t>להחזקתו</w:t>
            </w:r>
            <w:r>
              <w:rPr>
                <w:rFonts w:cs="Miriam" w:ascii="Arial TUR;Arial Unicode MS" w:hAnsi="Arial TUR;Arial Unicode MS"/>
                <w:b/>
                <w:bCs/>
                <w:spacing w:val="10"/>
                <w:rtl w:val="true"/>
              </w:rPr>
              <w:t>,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דינו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 xml:space="preserve">-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מאסר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שבע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שנים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>(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ההדגשה</w:t>
            </w:r>
            <w:r>
              <w:rPr>
                <w:rFonts w:ascii="Arial TUR;Arial Unicode MS" w:hAnsi="Arial TUR;Arial Unicode MS" w:eastAsia="Arial TUR;Arial Unicode MS" w:cs="Arial TUR;Arial Unicode MS"/>
                <w:spacing w:val="10"/>
                <w:rtl w:val="true"/>
              </w:rPr>
              <w:t xml:space="preserve"> </w:t>
            </w:r>
            <w:r>
              <w:rPr>
                <w:rFonts w:ascii="Arial TUR;Arial Unicode MS" w:hAnsi="Arial TUR;Arial Unicode MS" w:cs="Miriam"/>
                <w:spacing w:val="10"/>
                <w:rtl w:val="true"/>
              </w:rPr>
              <w:t>הוספה</w:t>
            </w:r>
            <w:r>
              <w:rPr>
                <w:rFonts w:cs="Miriam" w:ascii="Arial TUR;Arial Unicode MS" w:hAnsi="Arial TUR;Arial Unicode MS"/>
                <w:spacing w:val="10"/>
                <w:rtl w:val="true"/>
              </w:rPr>
              <w:t>).</w:t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overflowPunct w:val="false"/>
              <w:autoSpaceDE w:val="false"/>
              <w:ind w:end="0"/>
              <w:jc w:val="both"/>
              <w:rPr>
                <w:rFonts w:ascii="Arial TUR;Arial Unicode MS" w:hAnsi="Arial TUR;Arial Unicode MS" w:cs="Miriam"/>
                <w:spacing w:val="10"/>
              </w:rPr>
            </w:pPr>
            <w:r>
              <w:rPr>
                <w:rFonts w:cs="Miriam" w:ascii="Arial TUR;Arial Unicode MS" w:hAnsi="Arial TUR;Arial Unicode MS"/>
                <w:spacing w:val="10"/>
                <w:rtl w:val="true"/>
              </w:rPr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הנושא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hyperlink r:id="rId8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משמע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 xml:space="preserve">" ?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לדידי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התשובה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להיענות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בשלילה</w:t>
      </w:r>
      <w:r>
        <w:rPr>
          <w:rFonts w:cs="Calibri" w:ascii="Calibri" w:hAnsi="Calibri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היריה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hyperlink r:id="rId8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כלי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יריה</w:t>
        </w:r>
      </w:hyperlink>
      <w:r>
        <w:rPr>
          <w:rFonts w:cs="Calibri" w:ascii="Calibri" w:hAnsi="Calibri"/>
          <w:b/>
          <w:bCs/>
          <w:rtl w:val="true"/>
        </w:rPr>
        <w:t>")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להיבטים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9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080" w:leader="none"/>
          <w:tab w:val="left" w:pos="2381" w:leader="none"/>
          <w:tab w:val="right" w:pos="6259" w:leader="dot"/>
        </w:tabs>
        <w:suppressAutoHyphens w:val="true"/>
        <w:autoSpaceDE w:val="false"/>
        <w:spacing w:before="72" w:after="0"/>
        <w:ind w:start="2930" w:end="1134"/>
        <w:jc w:val="both"/>
        <w:rPr/>
      </w:pPr>
      <w:r>
        <w:rPr>
          <w:rFonts w:cs="Miriam"/>
          <w:lang w:eastAsia="he-IL"/>
        </w:rPr>
        <w:t>144</w:t>
      </w:r>
      <w:r>
        <w:rPr>
          <w:rFonts w:cs="Miriam"/>
          <w:rtl w:val="true"/>
          <w:lang w:eastAsia="he-IL"/>
        </w:rPr>
        <w:t xml:space="preserve"> (</w:t>
      </w:r>
      <w:r>
        <w:rPr>
          <w:rFonts w:cs="Miriam"/>
          <w:rtl w:val="true"/>
          <w:lang w:eastAsia="he-IL"/>
        </w:rPr>
        <w:t>ב</w:t>
      </w:r>
      <w:r>
        <w:rPr>
          <w:rFonts w:cs="Miriam"/>
          <w:lang w:eastAsia="he-IL"/>
        </w:rPr>
        <w:t>1</w:t>
      </w:r>
      <w:r>
        <w:rPr>
          <w:rFonts w:cs="Miriam"/>
          <w:rtl w:val="true"/>
          <w:lang w:eastAsia="he-IL"/>
        </w:rPr>
        <w:t>)</w:t>
      </w:r>
      <w:r>
        <w:rPr>
          <w:rFonts w:cs="Miriam"/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(</w:t>
      </w:r>
      <w:r>
        <w:rPr>
          <w:rFonts w:cs="Miriam"/>
          <w:rtl w:val="true"/>
          <w:lang w:eastAsia="he-IL"/>
        </w:rPr>
        <w:t>א</w:t>
      </w:r>
      <w:r>
        <w:rPr>
          <w:rFonts w:cs="Miriam"/>
          <w:rtl w:val="true"/>
          <w:lang w:eastAsia="he-IL"/>
        </w:rPr>
        <w:t xml:space="preserve">) </w:t>
      </w:r>
      <w:r>
        <w:rPr>
          <w:rFonts w:cs="Miriam"/>
          <w:rtl w:val="true"/>
          <w:lang w:eastAsia="he-IL"/>
        </w:rPr>
        <w:t>ו</w:t>
      </w:r>
      <w:r>
        <w:rPr>
          <w:rFonts w:cs="Miriam"/>
          <w:rtl w:val="true"/>
          <w:lang w:eastAsia="he-IL"/>
        </w:rPr>
        <w:t>-(</w:t>
      </w:r>
      <w:r>
        <w:rPr>
          <w:rFonts w:cs="Miriam"/>
          <w:rtl w:val="true"/>
          <w:lang w:eastAsia="he-IL"/>
        </w:rPr>
        <w:t>ב</w:t>
      </w:r>
      <w:r>
        <w:rPr>
          <w:rFonts w:cs="Miriam"/>
          <w:rtl w:val="true"/>
          <w:lang w:eastAsia="he-IL"/>
        </w:rPr>
        <w:t xml:space="preserve">) </w:t>
      </w:r>
      <w:r>
        <w:rPr>
          <w:rFonts w:cs="Miriam"/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יחולו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האגרה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לחידוש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רשיונו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חודשה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תעודת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הרשאתו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מניעה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לחידושה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</w:t>
      </w:r>
      <w:hyperlink r:id="rId92">
        <w:r>
          <w:rPr>
            <w:rStyle w:val="Hyperlink"/>
            <w:rFonts w:cs="Miriam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  <w:lang w:eastAsia="he-IL"/>
          </w:rPr>
          <w:t>כלי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  <w:lang w:eastAsia="he-IL"/>
          </w:rPr>
          <w:t>היריה</w:t>
        </w:r>
      </w:hyperlink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תש</w:t>
      </w:r>
      <w:r>
        <w:rPr>
          <w:rFonts w:cs="Miriam"/>
          <w:rtl w:val="true"/>
          <w:lang w:eastAsia="he-IL"/>
        </w:rPr>
        <w:t>"</w:t>
      </w:r>
      <w:r>
        <w:rPr>
          <w:rFonts w:cs="Miriam"/>
          <w:rtl w:val="true"/>
          <w:lang w:eastAsia="he-IL"/>
        </w:rPr>
        <w:t>ט</w:t>
      </w:r>
      <w:r>
        <w:rPr>
          <w:rFonts w:cs="Miriam"/>
          <w:rtl w:val="true"/>
          <w:lang w:eastAsia="he-IL"/>
        </w:rPr>
        <w:t>-</w:t>
      </w:r>
      <w:r>
        <w:rPr>
          <w:rFonts w:cs="Miriam"/>
          <w:lang w:eastAsia="he-IL"/>
        </w:rPr>
        <w:t>1949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התקנות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פיו</w:t>
      </w:r>
      <w:r>
        <w:rPr>
          <w:rFonts w:cs="FrankRuehl"/>
          <w:sz w:val="26"/>
          <w:szCs w:val="26"/>
          <w:rtl w:val="true"/>
          <w:lang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080" w:leader="none"/>
          <w:tab w:val="left" w:pos="2381" w:leader="none"/>
          <w:tab w:val="right" w:pos="6259" w:leader="dot"/>
        </w:tabs>
        <w:suppressAutoHyphens w:val="true"/>
        <w:autoSpaceDE w:val="false"/>
        <w:spacing w:before="72" w:after="0"/>
        <w:ind w:start="2930" w:end="1134"/>
        <w:jc w:val="both"/>
        <w:rPr>
          <w:rFonts w:cs="FrankRuehl"/>
          <w:sz w:val="26"/>
          <w:szCs w:val="26"/>
          <w:lang w:eastAsia="he-IL"/>
        </w:rPr>
      </w:pPr>
      <w:r>
        <w:rPr>
          <w:rFonts w:cs="FrankRuehl"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!!)  </w:t>
      </w:r>
      <w:r>
        <w:rPr>
          <w:rFonts w:ascii="Calibri" w:hAnsi="Calibri" w:cs="Calibri"/>
          <w:rtl w:val="true"/>
        </w:rPr>
        <w:t>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בלא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רשות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כנדרש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9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היריה</w:t>
        </w:r>
      </w:hyperlink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לנשיאתם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והובלתם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</w:t>
      </w:r>
      <w:r>
        <w:rPr>
          <w:rFonts w:ascii="Calibri" w:hAnsi="Calibri" w:cs="Calibri"/>
          <w:b/>
          <w:b/>
          <w:bCs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לסעיף</w:t>
      </w:r>
      <w:r>
        <w:rPr>
          <w:rFonts w:ascii="Calibri" w:hAnsi="Calibri" w:cs="Calibri"/>
          <w:rtl w:val="true"/>
        </w:rPr>
        <w:t xml:space="preserve"> </w:t>
      </w:r>
      <w:hyperlink r:id="rId98"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ascii="Calibri" w:hAnsi="Calibri" w:cs="Calibri"/>
          <w:rtl w:val="true"/>
        </w:rPr>
        <w:t>ל</w:t>
      </w:r>
      <w:hyperlink r:id="rId9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היריה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ברשותו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לסחור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והשכנוע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10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unPenh" w:hAnsi="DaunPenh" w:cs="DaunPenh"/>
          <w:rtl w:val="true"/>
        </w:rPr>
        <w:t>כידוע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בדיני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עונשין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אין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עונשין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מקל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וחומר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או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מאנלוגיה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או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היקש</w:t>
      </w:r>
      <w:r>
        <w:rPr>
          <w:rFonts w:cs="DaunPenh" w:ascii="DaunPenh" w:hAnsi="DaunPenh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unPenh" w:hAnsi="DaunPenh" w:cs="DaunPenh"/>
          <w:rtl w:val="true"/>
        </w:rPr>
        <w:t>לפיכך</w:t>
      </w:r>
      <w:r>
        <w:rPr>
          <w:rFonts w:cs="DaunPenh" w:ascii="DaunPenh" w:hAnsi="DaunPenh"/>
          <w:rtl w:val="true"/>
        </w:rPr>
        <w:t xml:space="preserve">, </w:t>
      </w:r>
      <w:r>
        <w:rPr>
          <w:rFonts w:ascii="DaunPenh" w:hAnsi="DaunPenh" w:cs="DaunPenh"/>
          <w:rtl w:val="true"/>
        </w:rPr>
        <w:t>מצאתי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לנכון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להימנע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מלהורות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על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הפעלת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המאסר</w:t>
      </w:r>
      <w:r>
        <w:rPr>
          <w:rFonts w:ascii="DaunPenh" w:hAnsi="DaunPenh" w:cs="DaunPenh"/>
          <w:rtl w:val="true"/>
        </w:rPr>
        <w:t xml:space="preserve"> </w:t>
      </w:r>
      <w:r>
        <w:rPr>
          <w:rFonts w:ascii="DaunPenh" w:hAnsi="DaunPenh" w:cs="DaunPenh"/>
          <w:rtl w:val="true"/>
        </w:rPr>
        <w:t>המותנה</w:t>
      </w:r>
      <w:r>
        <w:rPr>
          <w:rFonts w:cs="DaunPenh" w:ascii="DaunPenh" w:hAnsi="DaunPenh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10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103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1.1.2020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6"/>
      <w:footerReference w:type="default" r:id="rId10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unPenh">
    <w:charset w:val="00" w:characterSet="windows-1252"/>
    <w:family w:val="auto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46183-11-15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תייסיר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 Unicode MS" w:hAnsi="Arial TUR;Arial Unicode MS" w:cs="Arial TUR;Arial Unicode MS"/>
      <w:spacing w:val="10"/>
      <w:sz w:val="28"/>
      <w:lang w:bidi="he-IL"/>
    </w:rPr>
  </w:style>
  <w:style w:type="character" w:styleId="Hyperlink">
    <w:name w:val="Hyperlink"/>
    <w:rPr>
      <w:color w:val="0000FF"/>
      <w:u w:val="single"/>
    </w:rPr>
  </w:style>
  <w:style w:type="character" w:styleId="CharChar1">
    <w:name w:val=" Char Char1"/>
    <w:qFormat/>
    <w:rPr>
      <w:rFonts w:ascii="Tahoma" w:hAnsi="Tahoma" w:cs="Tahoma"/>
      <w:sz w:val="16"/>
      <w:szCs w:val="16"/>
      <w:lang w:val="en-US" w:bidi="he-IL"/>
    </w:rPr>
  </w:style>
  <w:style w:type="character" w:styleId="Style12">
    <w:name w:val="טקסט הערה תו"/>
    <w:qFormat/>
    <w:rPr>
      <w:rFonts w:cs="Times New Roman"/>
      <w:sz w:val="20"/>
      <w:szCs w:val="20"/>
    </w:rPr>
  </w:style>
  <w:style w:type="character" w:styleId="CharChar2">
    <w:name w:val=" Char Char2"/>
    <w:qFormat/>
    <w:rPr>
      <w:sz w:val="24"/>
      <w:szCs w:val="24"/>
      <w:lang w:val="en-US" w:bidi="he-IL"/>
    </w:rPr>
  </w:style>
  <w:style w:type="character" w:styleId="CharChar">
    <w:name w:val=" Char Char"/>
    <w:qFormat/>
    <w:rPr>
      <w:rFonts w:ascii="Calibri" w:hAnsi="Calibri" w:cs="Arial"/>
      <w:b/>
      <w:bCs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 Unicode MS" w:hAnsi="Arial TUR;Arial Unicode MS" w:cs="Times New Roman"/>
      <w:spacing w:val="10"/>
      <w:sz w:val="28"/>
      <w:szCs w:val="20"/>
      <w:lang w:val="en-US"/>
    </w:rPr>
  </w:style>
  <w:style w:type="paragraph" w:styleId="CommentSubject">
    <w:name w:val="Comment Subject"/>
    <w:basedOn w:val="CommentText"/>
    <w:next w:val="CommentText"/>
    <w:qFormat/>
    <w:pPr>
      <w:spacing w:before="0" w:after="160"/>
      <w:jc w:val="both"/>
    </w:pPr>
    <w:rPr>
      <w:rFonts w:ascii="Calibri" w:hAnsi="Calibri" w:cs="Arial"/>
      <w:b/>
      <w:bCs/>
      <w:sz w:val="20"/>
      <w:szCs w:val="2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143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144.c1.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/40jc.c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86" TargetMode="External"/><Relationship Id="rId19" Type="http://schemas.openxmlformats.org/officeDocument/2006/relationships/hyperlink" Target="http://www.nevo.co.il/law/72225" TargetMode="External"/><Relationship Id="rId20" Type="http://schemas.openxmlformats.org/officeDocument/2006/relationships/hyperlink" Target="http://www.nevo.co.il/law/72225/4" TargetMode="External"/><Relationship Id="rId21" Type="http://schemas.openxmlformats.org/officeDocument/2006/relationships/hyperlink" Target="http://www.nevo.co.il/law/72225/5.b.3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c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c.b" TargetMode="External"/><Relationship Id="rId35" Type="http://schemas.openxmlformats.org/officeDocument/2006/relationships/hyperlink" Target="http://www.nevo.co.il/case/13093721" TargetMode="External"/><Relationship Id="rId36" Type="http://schemas.openxmlformats.org/officeDocument/2006/relationships/hyperlink" Target="http://www.nevo.co.il/law/70301/40jc.a" TargetMode="External"/><Relationship Id="rId37" Type="http://schemas.openxmlformats.org/officeDocument/2006/relationships/hyperlink" Target="http://www.nevo.co.il/law/70301/40jc.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4903/186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case/5962012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4903/186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4903/186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case/21472788" TargetMode="External"/><Relationship Id="rId51" Type="http://schemas.openxmlformats.org/officeDocument/2006/relationships/hyperlink" Target="http://www.nevo.co.il/case/6034921" TargetMode="External"/><Relationship Id="rId52" Type="http://schemas.openxmlformats.org/officeDocument/2006/relationships/hyperlink" Target="http://www.nevo.co.il/case/21472788" TargetMode="External"/><Relationship Id="rId53" Type="http://schemas.openxmlformats.org/officeDocument/2006/relationships/hyperlink" Target="http://www.nevo.co.il/law/70301/144.b2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585104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144.b2" TargetMode="External"/><Relationship Id="rId59" Type="http://schemas.openxmlformats.org/officeDocument/2006/relationships/hyperlink" Target="http://www.nevo.co.il/case/6054579" TargetMode="External"/><Relationship Id="rId60" Type="http://schemas.openxmlformats.org/officeDocument/2006/relationships/hyperlink" Target="http://www.nevo.co.il/law/70301/144.b2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144.a" TargetMode="External"/><Relationship Id="rId63" Type="http://schemas.openxmlformats.org/officeDocument/2006/relationships/hyperlink" Target="http://www.nevo.co.il/law/70301/144.b" TargetMode="External"/><Relationship Id="rId64" Type="http://schemas.openxmlformats.org/officeDocument/2006/relationships/hyperlink" Target="http://www.nevo.co.il/case/5699080" TargetMode="External"/><Relationship Id="rId65" Type="http://schemas.openxmlformats.org/officeDocument/2006/relationships/hyperlink" Target="http://www.nevo.co.il/law/70301/144.b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44.b2" TargetMode="External"/><Relationship Id="rId68" Type="http://schemas.openxmlformats.org/officeDocument/2006/relationships/hyperlink" Target="http://www.nevo.co.il/case/5699081" TargetMode="External"/><Relationship Id="rId69" Type="http://schemas.openxmlformats.org/officeDocument/2006/relationships/hyperlink" Target="http://www.nevo.co.il/law/70301/40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144.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144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144.b2" TargetMode="External"/><Relationship Id="rId78" Type="http://schemas.openxmlformats.org/officeDocument/2006/relationships/hyperlink" Target="http://www.nevo.co.il/law/70301/144.c" TargetMode="External"/><Relationship Id="rId79" Type="http://schemas.openxmlformats.org/officeDocument/2006/relationships/hyperlink" Target="http://www.nevo.co.il/case/17942576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144.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144.b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144.b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2225" TargetMode="External"/><Relationship Id="rId89" Type="http://schemas.openxmlformats.org/officeDocument/2006/relationships/hyperlink" Target="http://www.nevo.co.il/law/72225" TargetMode="External"/><Relationship Id="rId90" Type="http://schemas.openxmlformats.org/officeDocument/2006/relationships/hyperlink" Target="http://www.nevo.co.il/law/70301/144.b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2225" TargetMode="External"/><Relationship Id="rId93" Type="http://schemas.openxmlformats.org/officeDocument/2006/relationships/hyperlink" Target="http://www.nevo.co.il/law/70301/144.b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2225" TargetMode="External"/><Relationship Id="rId96" Type="http://schemas.openxmlformats.org/officeDocument/2006/relationships/hyperlink" Target="http://www.nevo.co.il/law/72225/4" TargetMode="External"/><Relationship Id="rId97" Type="http://schemas.openxmlformats.org/officeDocument/2006/relationships/hyperlink" Target="http://www.nevo.co.il/law/72225" TargetMode="External"/><Relationship Id="rId98" Type="http://schemas.openxmlformats.org/officeDocument/2006/relationships/hyperlink" Target="http://www.nevo.co.il/law/72225/5.b.3" TargetMode="External"/><Relationship Id="rId99" Type="http://schemas.openxmlformats.org/officeDocument/2006/relationships/hyperlink" Target="http://www.nevo.co.il/law/72225" TargetMode="External"/><Relationship Id="rId100" Type="http://schemas.openxmlformats.org/officeDocument/2006/relationships/hyperlink" Target="http://www.nevo.co.il/law/70301/144.c1.2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143" TargetMode="External"/><Relationship Id="rId103" Type="http://schemas.openxmlformats.org/officeDocument/2006/relationships/hyperlink" Target="http://www.nevo.co.il/law/70301/144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advertisements/nevo-100.doc" TargetMode="External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<Relationship Id="rId1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2017-07-20T14:12:00Z</dcterms:created>
  <dc:creator> </dc:creator>
  <dc:description/>
  <cp:keywords/>
  <dc:language>en-IL</dc:language>
  <cp:lastModifiedBy>run</cp:lastModifiedBy>
  <dcterms:modified xsi:type="dcterms:W3CDTF">2017-07-20T14:12:00Z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תייסיר מחאמיד</vt:lpwstr>
  </property>
  <property fmtid="{D5CDD505-2E9C-101B-9397-08002B2CF9AE}" pid="4" name="CASESLISTTMP1">
    <vt:lpwstr>13093721;5962012;21472788:2;6034921;5585104;6054579;5699080;5699081;17942576</vt:lpwstr>
  </property>
  <property fmtid="{D5CDD505-2E9C-101B-9397-08002B2CF9AE}" pid="5" name="CITY">
    <vt:lpwstr>חי'</vt:lpwstr>
  </property>
  <property fmtid="{D5CDD505-2E9C-101B-9397-08002B2CF9AE}" pid="6" name="DATE">
    <vt:lpwstr>20160927</vt:lpwstr>
  </property>
  <property fmtid="{D5CDD505-2E9C-101B-9397-08002B2CF9AE}" pid="7" name="ISABSTRACT">
    <vt:lpwstr>Y</vt:lpwstr>
  </property>
  <property fmtid="{D5CDD505-2E9C-101B-9397-08002B2CF9AE}" pid="8" name="JUDGE">
    <vt:lpwstr>אבי לוי</vt:lpwstr>
  </property>
  <property fmtid="{D5CDD505-2E9C-101B-9397-08002B2CF9AE}" pid="9" name="LAWLISTTMP1">
    <vt:lpwstr>70301/144.b2:6;144.c:2;144.b:8;144.a:5;40jc:2;40jc.a:2;40jc.b;40jc.c;040;40ja;144.b1;144.c1.2;143;144</vt:lpwstr>
  </property>
  <property fmtid="{D5CDD505-2E9C-101B-9397-08002B2CF9AE}" pid="10" name="LAWLISTTMP2">
    <vt:lpwstr>74903/186:3</vt:lpwstr>
  </property>
  <property fmtid="{D5CDD505-2E9C-101B-9397-08002B2CF9AE}" pid="11" name="LAWLISTTMP3">
    <vt:lpwstr>72225/004;005.b.3</vt:lpwstr>
  </property>
  <property fmtid="{D5CDD505-2E9C-101B-9397-08002B2CF9AE}" pid="12" name="NEWPARTA">
    <vt:lpwstr>46183</vt:lpwstr>
  </property>
  <property fmtid="{D5CDD505-2E9C-101B-9397-08002B2CF9AE}" pid="13" name="NEWPARTB">
    <vt:lpwstr>11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390020160927</vt:lpwstr>
  </property>
  <property fmtid="{D5CDD505-2E9C-101B-9397-08002B2CF9AE}" pid="19" name="TYPE_N_DATE">
    <vt:lpwstr>39020160927</vt:lpwstr>
  </property>
  <property fmtid="{D5CDD505-2E9C-101B-9397-08002B2CF9AE}" pid="20" name="WORDNUMPAGES">
    <vt:lpwstr>14</vt:lpwstr>
  </property>
</Properties>
</file>