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</w:rPr>
      </w:pPr>
      <w:r>
        <w:rPr>
          <w:rFonts w:cs="Tahoma" w:ascii="Tahoma" w:hAnsi="Tahoma"/>
          <w:b/>
          <w:bCs/>
          <w:color w:val="000080"/>
          <w:rtl w:val="true"/>
        </w:rPr>
      </w:r>
      <w:bookmarkStart w:id="2" w:name="LawTable"/>
      <w:bookmarkStart w:id="3" w:name="LawTable"/>
      <w:bookmarkEnd w:id="3"/>
    </w:p>
    <w:p>
      <w:pPr>
        <w:pStyle w:val="Header"/>
        <w:ind w:end="0"/>
        <w:jc w:val="center"/>
        <w:rPr>
          <w:rFonts w:ascii="Tahoma" w:hAnsi="Tahoma" w:cs="Tahoma"/>
          <w:color w:val="000080"/>
        </w:rPr>
      </w:pPr>
      <w:bookmarkStart w:id="4" w:name="LawTable_End"/>
      <w:bookmarkEnd w:id="4"/>
      <w:r>
        <w:rPr>
          <w:rFonts w:ascii="Tahoma" w:hAnsi="Tahoma" w:cs="Tahoma"/>
          <w:b/>
          <w:b/>
          <w:bCs/>
          <w:color w:val="000080"/>
          <w:rtl w:val="true"/>
        </w:rPr>
        <w:t>בית המשפט המחוזי בחיפה</w:t>
      </w:r>
    </w:p>
    <w:p>
      <w:pPr>
        <w:pStyle w:val="Normal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46248-11-15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אדריס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עציר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>'</w:t>
      </w:r>
    </w:p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יחיאל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ליפשיץ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5" w:name="FirstAppellant"/>
            <w:bookmarkEnd w:id="5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עודאי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3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סאבר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4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זידאני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בפיקוח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5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.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בפיקוח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80"/>
        </w:rPr>
      </w:pPr>
      <w:r>
        <w:rPr>
          <w:rFonts w:ascii="FrankRuehl" w:hAnsi="FrankRuehl" w:cs="FrankRuehl"/>
          <w:color w:val="000080"/>
          <w:rtl w:val="true"/>
        </w:rPr>
        <w:t>חקיקה שאוזכרה</w:t>
      </w:r>
      <w:r>
        <w:rPr>
          <w:rFonts w:cs="FrankRuehl" w:ascii="FrankRuehl" w:hAnsi="FrankRuehl"/>
          <w:color w:val="000080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92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18"/>
        <w:gridCol w:w="210"/>
      </w:tblGrid>
      <w:tr>
        <w:trPr>
          <w:trHeight w:val="355" w:hRule="atLeast"/>
        </w:trPr>
        <w:tc>
          <w:tcPr>
            <w:tcW w:w="892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6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בעניינם </w:t>
            </w:r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של הנאשמים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4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ו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5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 xml:space="preserve"> </w:t>
            </w:r>
          </w:p>
        </w:tc>
      </w:tr>
      <w:tr>
        <w:trPr/>
        <w:tc>
          <w:tcPr>
            <w:tcW w:w="8718" w:type="dxa"/>
            <w:tcBorders/>
          </w:tcPr>
          <w:p>
            <w:pPr>
              <w:pStyle w:val="Normal"/>
              <w:snapToGrid w:val="false"/>
              <w:spacing w:lineRule="auto" w:line="360"/>
              <w:ind w:start="567" w:end="567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21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כללי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 xml:space="preserve">כתב האישום בפרשה זו כולל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28.6.16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ניתן גזר הדין בעניינם של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בעניינם של הנאשמים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סברתי שיש לדחות את הדיון בעניינם לצורך מיצוי ובדיקת הליך האבחוני– טיפולי בו היו מצויים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 אחד בנפרד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בנדון החלטתי מתאריך </w:t>
      </w:r>
      <w:r>
        <w:rPr>
          <w:rFonts w:cs="Arial" w:ascii="Arial" w:hAnsi="Arial"/>
        </w:rPr>
        <w:t>16.5.16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>כדי שלא להאריך במקום בו ניתן לקצר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אפנה לגזר הדין מתאריך </w:t>
      </w:r>
      <w:r>
        <w:rPr>
          <w:rFonts w:cs="Arial" w:ascii="Arial" w:hAnsi="Arial"/>
        </w:rPr>
        <w:t>28.6.16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בעניינם של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סקרתי את הרקע הכללי של פרשה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אזכיר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בקצרה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כלל הנאשמים </w:t>
      </w:r>
      <w:r>
        <w:rPr>
          <w:rFonts w:ascii="Calibri" w:hAnsi="Calibri" w:cs="Calibri"/>
          <w:rtl w:val="true"/>
        </w:rPr>
        <w:t>הורשעו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 -16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bookmarkStart w:id="10" w:name="LastJudge"/>
      <w:bookmarkEnd w:id="10"/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17.8.15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17.8.15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50,000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20.8.15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30.8.15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30.8.15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למקום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הגיע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רכב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נהוג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ידי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מושרייפה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מושרייפה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לאחר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מספר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דקות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הגיע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למקום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רכב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נוסף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היה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נהוג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בידי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5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יצא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מרכבו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הוציא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המטען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רובה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מסוג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M -16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שהיה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טעון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במחסנית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ומסר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אותו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לידי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כאשר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5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אוחז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ברובה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בהגיעם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5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לסוכן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שקית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ובה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כדורי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5.56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cs="Calibri" w:ascii="Calibri" w:hAnsi="Calibri"/>
          <w:rtl w:val="true"/>
        </w:rPr>
        <w:t>+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)+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hyperlink r:id="rId10"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)+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מתחמי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הראויים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ובהקשר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ואסתמך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28.6.16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סבורני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שנקבע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נכון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פורמאלית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8465/14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כרכי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24.8.15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הדגמה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ההדגמה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רק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4592/15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פדידה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8.2.16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התסקירים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4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5/2016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כעצמאי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ומיטיבה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8/2015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אינדיקציות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שיתמקד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מתפקדת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ומאידך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רצף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קוגנטיביות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וורבליות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12.9.16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ולהיטיב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מדיווחים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בתאריכים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6.8.16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3.9.16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6.9.16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השתיים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בהתמכרויות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והפגנת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דחייה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התסקירים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5</w:t>
      </w:r>
      <w:r>
        <w:rPr>
          <w:rFonts w:cs="Calibri" w:ascii="Calibri" w:hAnsi="Calibri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5/2015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השיפוצים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אנטיסוציאליים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לנטייתו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וחווית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ולהפחתת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5/2015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נעתרתי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18.8.16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שחיכוך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והרחיב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ולעבוד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רתימת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עיקר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ושאומצו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ספונטאני</w:t>
      </w:r>
      <w:r>
        <w:rPr>
          <w:rFonts w:cs="Calibri" w:ascii="Calibri" w:hAnsi="Calibri"/>
          <w:rtl w:val="true"/>
        </w:rPr>
        <w:t xml:space="preserve">";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19.9.16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עיקר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4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אבסולוטית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בבדיקתו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יאומצו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עיקר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5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טיעונו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טעויותיו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טעויותיו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שמסוכנותו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ישתקם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דברי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הנאשמים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בטרם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גזירת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דינם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שעישנו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הריח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דיון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ומסקנות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שתכליתו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התקפית</w:t>
      </w:r>
      <w:r>
        <w:rPr>
          <w:rFonts w:cs="Calibri" w:ascii="Calibri" w:hAnsi="Calibri"/>
          <w:rtl w:val="true"/>
        </w:rPr>
        <w:t xml:space="preserve">" –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פליליות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שבעתיים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8280/15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גולאני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</w:rPr>
        <w:t>28.3.16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ככלל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בענישתם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שהורשעו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b/>
          <w:bCs/>
          <w:rtl w:val="true"/>
        </w:rPr>
        <w:t>...</w:t>
      </w:r>
      <w:r>
        <w:rPr>
          <w:rFonts w:ascii="Calibri" w:hAnsi="Calibri" w:cs="Calibri"/>
          <w:b/>
          <w:b/>
          <w:bCs/>
          <w:rtl w:val="true"/>
        </w:rPr>
        <w:t>לעניין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נפקא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שהקונה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משטרתי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המעורבים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מודעים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ומסוכנתם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נותרת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בעינה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1397/16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חמאיל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6.9.16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חמאיל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שגזרתי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וכעת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חמאיל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חמאיל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חמאיל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מתערבת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התחתונה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גושפנקא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ולאבחנה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1655/99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עינאד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13.9.99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חמאיל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ארוכה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שיצאו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אוזכרו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מגלה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קמא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חמאיל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ושרקאווי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המקל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לטעמי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בענין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אציין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מהרגיל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הסוחרים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אוטומטיים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הפוטנציאלי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חמאיל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ושרקאווי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המקובלת</w:t>
      </w:r>
      <w:r>
        <w:rPr>
          <w:rFonts w:cs="Calibri" w:ascii="Calibri" w:hAnsi="Calibri"/>
          <w:b/>
          <w:bCs/>
          <w:rtl w:val="true"/>
        </w:rPr>
        <w:t>. . . "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ההדגשה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.)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u w:val="single"/>
        </w:rPr>
      </w:pP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4</w:t>
      </w:r>
      <w:r>
        <w:rPr>
          <w:rFonts w:cs="Calibri" w:ascii="Calibri" w:hAnsi="Calibri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ההשתלבות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מבטיחה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לכשעצמה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סטיה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ללבנן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הריח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מהמלצתו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מהימשכות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והשווה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1170/15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11.1.16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התחתונה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בעניינו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5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והשתלבותו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ואמיתית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והרחיב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ישתקם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לפירושים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והחיצוניים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גבריאל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תורת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686-674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משתכנע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מקסימאלית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והשווה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5561/14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7.11.16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7549/15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פחימה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25.1.16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כשלצורך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</w:t>
      </w:r>
      <w:r>
        <w:rPr>
          <w:rFonts w:cs="Calibri" w:ascii="Calibri" w:hAnsi="Calibri"/>
          <w:rtl w:val="true"/>
        </w:rPr>
        <w:t xml:space="preserve">'),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יכלול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13.101.6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  <w:u w:val="single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אני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משית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הבאים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  <w:t>20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וזאת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בניכוי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תקופת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מעצרו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מתאריך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2.11.15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ועד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14.1.16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1.5.17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5</w:t>
      </w:r>
      <w:r>
        <w:rPr>
          <w:rFonts w:cs="Calibri" w:ascii="Calibri" w:hAnsi="Calibri"/>
          <w:b/>
          <w:bCs/>
          <w:u w:val="single"/>
          <w:rtl w:val="true"/>
        </w:rPr>
        <w:t xml:space="preserve">  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</w:rPr>
        <w:t>24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וזאת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בניכוי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תקופת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מעצרו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מתאריך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2.11.15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ועד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14.1.16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1.5.17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567" w:end="56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כל אחד מהנאשמים יתייצב לריצוי מאסרו בבית מעצר קישון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בתאריך </w:t>
      </w:r>
      <w:r>
        <w:rPr>
          <w:rFonts w:cs="Arial" w:ascii="Arial" w:hAnsi="Arial"/>
          <w:b/>
          <w:bCs/>
          <w:u w:val="single"/>
        </w:rPr>
        <w:t>27.11.16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עד השעה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על פי החלטת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כשברשותו תעודת זהות או דרכון</w:t>
      </w:r>
      <w:r>
        <w:rPr>
          <w:rFonts w:cs="Arial" w:ascii="Arial" w:hAnsi="Arial"/>
          <w:b/>
          <w:bCs/>
          <w:rtl w:val="true"/>
        </w:rPr>
        <w:t xml:space="preserve">.  </w:t>
      </w:r>
      <w:r>
        <w:rPr>
          <w:rFonts w:ascii="Arial" w:hAnsi="Arial" w:cs="Arial"/>
          <w:b/>
          <w:b/>
          <w:bCs/>
          <w:rtl w:val="true"/>
        </w:rPr>
        <w:t>על כל אחד מהנאשמים לתאם את הכניסה למאסר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כולל האפשרות למיון מוקדם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עם ענף אבחון ומיון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טלפונים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08-9787377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08-9787336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תנאי השחרור בהם היו נתונים הנאשמים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ימשיכו לחול על להתייצבותם למאסר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color w:val="FFFFFF"/>
          <w:sz w:val="2"/>
          <w:szCs w:val="2"/>
          <w:u w:val="single"/>
        </w:rPr>
        <w:t>5129371</w:t>
      </w:r>
      <w:r>
        <w:rPr>
          <w:rFonts w:ascii="Arial" w:hAnsi="Arial" w:cs="Arial"/>
          <w:u w:val="single"/>
          <w:rtl w:val="true"/>
        </w:rPr>
        <w:t>המזכירות תשלח עותק מגזר הדין לשב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ס</w:t>
      </w:r>
      <w:r>
        <w:rPr>
          <w:rFonts w:cs="Arial" w:ascii="Arial" w:hAnsi="Arial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b/>
          <w:bCs/>
        </w:rPr>
      </w:pPr>
      <w:r>
        <w:rPr>
          <w:rFonts w:cs="Calibri" w:ascii="Calibri" w:hAnsi="Calibri"/>
          <w:b/>
          <w:bCs/>
          <w:color w:val="FFFFFF"/>
          <w:sz w:val="2"/>
          <w:szCs w:val="2"/>
        </w:rPr>
        <w:t>54678313</w:t>
      </w: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color w:val="000000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46248-11-15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עודאי אדריס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CharChar5">
    <w:name w:val=" Char Char5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CharChar4">
    <w:name w:val=" Char Char4"/>
    <w:qFormat/>
    <w:rPr>
      <w:rFonts w:cs="Narkisim"/>
      <w:b/>
      <w:bCs/>
      <w:sz w:val="24"/>
      <w:szCs w:val="24"/>
      <w:lang w:val="en-US" w:bidi="he-IL"/>
    </w:rPr>
  </w:style>
  <w:style w:type="character" w:styleId="CharChar3">
    <w:name w:val=" Char Char3"/>
    <w:qFormat/>
    <w:rPr>
      <w:rFonts w:cs="David"/>
      <w:sz w:val="24"/>
      <w:szCs w:val="24"/>
      <w:lang w:val="en-US" w:bidi="he-IL"/>
    </w:rPr>
  </w:style>
  <w:style w:type="character" w:styleId="CharChar2">
    <w:name w:val=" Char Char2"/>
    <w:qFormat/>
    <w:rPr>
      <w:rFonts w:cs="David"/>
      <w:sz w:val="24"/>
      <w:szCs w:val="24"/>
      <w:lang w:val="en-US" w:bidi="he-IL"/>
    </w:rPr>
  </w:style>
  <w:style w:type="character" w:styleId="CharChar1">
    <w:name w:val=" Char Char1"/>
    <w:qFormat/>
    <w:rPr>
      <w:sz w:val="24"/>
      <w:szCs w:val="24"/>
      <w:lang w:val="en-US" w:bidi="he-IL"/>
    </w:rPr>
  </w:style>
  <w:style w:type="character" w:styleId="CharChar">
    <w:name w:val=" Char Char"/>
    <w:qFormat/>
    <w:rPr>
      <w:rFonts w:ascii="Tahoma" w:hAnsi="Tahoma" w:cs="Tahoma"/>
      <w:sz w:val="16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  <w:jc w:val="both"/>
    </w:pPr>
    <w:rPr>
      <w:rFonts w:ascii="Calibri" w:hAnsi="Calibri" w:cs="Calib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.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2.;3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/144.b2.;31" TargetMode="External"/><Relationship Id="rId12" Type="http://schemas.openxmlformats.org/officeDocument/2006/relationships/hyperlink" Target="http://www.nevo.co.il/case/18720163" TargetMode="External"/><Relationship Id="rId13" Type="http://schemas.openxmlformats.org/officeDocument/2006/relationships/hyperlink" Target="http://www.nevo.co.il/case/20412551" TargetMode="External"/><Relationship Id="rId14" Type="http://schemas.openxmlformats.org/officeDocument/2006/relationships/hyperlink" Target="http://www.nevo.co.il/case/20775010" TargetMode="External"/><Relationship Id="rId15" Type="http://schemas.openxmlformats.org/officeDocument/2006/relationships/hyperlink" Target="http://www.nevo.co.il/case/21472788" TargetMode="External"/><Relationship Id="rId16" Type="http://schemas.openxmlformats.org/officeDocument/2006/relationships/hyperlink" Target="http://www.nevo.co.il/case/5782545" TargetMode="External"/><Relationship Id="rId17" Type="http://schemas.openxmlformats.org/officeDocument/2006/relationships/hyperlink" Target="http://www.nevo.co.il/case/20031943" TargetMode="External"/><Relationship Id="rId18" Type="http://schemas.openxmlformats.org/officeDocument/2006/relationships/hyperlink" Target="http://www.nevo.co.il/case/17934709" TargetMode="External"/><Relationship Id="rId19" Type="http://schemas.openxmlformats.org/officeDocument/2006/relationships/hyperlink" Target="http://www.nevo.co.il/case/20687539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2017-07-20T14:12:00Z</dcterms:created>
  <dc:creator> </dc:creator>
  <dc:description/>
  <cp:keywords/>
  <dc:language>en-IL</dc:language>
  <cp:lastModifiedBy>run</cp:lastModifiedBy>
  <dcterms:modified xsi:type="dcterms:W3CDTF">2017-07-20T14:12:00Z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עודאי אדריס;אחמד אבו אל היג'א;סאבר המאם;מוחמד זידאני (עצור בפיקוח);אנס ג'בארין עצור בפיקוח)</vt:lpwstr>
  </property>
  <property fmtid="{D5CDD505-2E9C-101B-9397-08002B2CF9AE}" pid="4" name="CASESLISTTMP1">
    <vt:lpwstr>18720163;20412551;20775010;21472788;5782545;20031943;17934709;20687539</vt:lpwstr>
  </property>
  <property fmtid="{D5CDD505-2E9C-101B-9397-08002B2CF9AE}" pid="5" name="CITY">
    <vt:lpwstr>חי'</vt:lpwstr>
  </property>
  <property fmtid="{D5CDD505-2E9C-101B-9397-08002B2CF9AE}" pid="6" name="DATE">
    <vt:lpwstr>20161109</vt:lpwstr>
  </property>
  <property fmtid="{D5CDD505-2E9C-101B-9397-08002B2CF9AE}" pid="7" name="ISABSTRACT">
    <vt:lpwstr>Y</vt:lpwstr>
  </property>
  <property fmtid="{D5CDD505-2E9C-101B-9397-08002B2CF9AE}" pid="8" name="JUDGE">
    <vt:lpwstr>יחיאל ליפשיץ</vt:lpwstr>
  </property>
  <property fmtid="{D5CDD505-2E9C-101B-9397-08002B2CF9AE}" pid="9" name="LAWLISTTMP1">
    <vt:lpwstr>70301/144.a:2;144.b2:2;031:3</vt:lpwstr>
  </property>
  <property fmtid="{D5CDD505-2E9C-101B-9397-08002B2CF9AE}" pid="10" name="NEWPARTA">
    <vt:lpwstr>46248</vt:lpwstr>
  </property>
  <property fmtid="{D5CDD505-2E9C-101B-9397-08002B2CF9AE}" pid="11" name="NEWPARTB">
    <vt:lpwstr>11</vt:lpwstr>
  </property>
  <property fmtid="{D5CDD505-2E9C-101B-9397-08002B2CF9AE}" pid="12" name="NEWPARTC">
    <vt:lpwstr>15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390020161109</vt:lpwstr>
  </property>
  <property fmtid="{D5CDD505-2E9C-101B-9397-08002B2CF9AE}" pid="17" name="TYPE_N_DATE">
    <vt:lpwstr>39020161109</vt:lpwstr>
  </property>
  <property fmtid="{D5CDD505-2E9C-101B-9397-08002B2CF9AE}" pid="18" name="WORDNUMPAGES">
    <vt:lpwstr>11</vt:lpwstr>
  </property>
</Properties>
</file>