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46375-03-13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תביעות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רמלה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וחידי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46397-03-13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הישאם  אבו שחאדה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משטרת ישראל תביעות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שלוחת רמלה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בחית וחידי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נוכחים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עמיחי רווה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אורן שפקמן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441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bookmarkStart w:id="8" w:name="ABSTRACT_START"/>
      <w:bookmarkEnd w:id="8"/>
      <w:r>
        <w:rPr>
          <w:rtl w:val="true"/>
        </w:rPr>
        <w:t xml:space="preserve">הנאשם הורשע על פי הודאתו בעבירות של </w:t>
      </w:r>
      <w:r>
        <w:rPr>
          <w:b/>
          <w:b/>
          <w:bCs/>
          <w:rtl w:val="true"/>
        </w:rPr>
        <w:t>תקיפה סתם – בן זוג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עבירה לפי </w:t>
      </w:r>
      <w:hyperlink r:id="rId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 xml:space="preserve">") </w:t>
      </w:r>
      <w:r>
        <w:rPr>
          <w:rtl w:val="true"/>
        </w:rPr>
        <w:t xml:space="preserve">ועבירה של </w:t>
      </w:r>
      <w:r>
        <w:rPr>
          <w:b/>
          <w:b/>
          <w:bCs/>
          <w:rtl w:val="true"/>
        </w:rPr>
        <w:t>התחזות כאדם אחר במטרה להונות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441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 העונשין המיוחסות לו בכתב אישום אשר תוקן במסגרת הסדר דיוני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נסיבות ביצוע העבירות פורטו בכתב האישום המתוקן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במועדים הרלוונטיים לאירועי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היו הנאשם והמתלוננת בני זוג נשואים מזה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והתגוררו יחד ברמלה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אשרף וחידי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האח</w:t>
      </w:r>
      <w:r>
        <w:rPr>
          <w:rtl w:val="true"/>
        </w:rPr>
        <w:t xml:space="preserve">") </w:t>
      </w:r>
      <w:r>
        <w:rPr>
          <w:rtl w:val="true"/>
        </w:rPr>
        <w:t>הוא אחיו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כחמישה ימים עובר לאירועי כתב האישום הראשון</w:t>
      </w:r>
      <w:r>
        <w:rPr>
          <w:rtl w:val="true"/>
        </w:rPr>
        <w:t xml:space="preserve">, </w:t>
      </w:r>
      <w:r>
        <w:rPr>
          <w:rtl w:val="true"/>
        </w:rPr>
        <w:t>עברה המתלוננת ניתוח בבטנה</w:t>
      </w:r>
      <w:r>
        <w:rPr>
          <w:rtl w:val="true"/>
        </w:rPr>
        <w:t xml:space="preserve">, </w:t>
      </w:r>
      <w:r>
        <w:rPr>
          <w:rtl w:val="true"/>
        </w:rPr>
        <w:t>ובמועד האירוע טרם הוצאו התפרים מבטנה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 xml:space="preserve">אישום </w:t>
      </w:r>
      <w:r>
        <w:rPr>
          <w:u w:val="single"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ביום </w:t>
      </w:r>
      <w:r>
        <w:rPr/>
        <w:t>2.3.13</w:t>
      </w:r>
      <w:r>
        <w:rPr>
          <w:rtl w:val="true"/>
        </w:rPr>
        <w:t xml:space="preserve"> </w:t>
      </w:r>
      <w:r>
        <w:rPr>
          <w:rtl w:val="true"/>
        </w:rPr>
        <w:t>חזר הנאשם אל הבית כשהוא תחת השפעת אלכוהול</w:t>
      </w:r>
      <w:r>
        <w:rPr>
          <w:rtl w:val="true"/>
        </w:rPr>
        <w:t xml:space="preserve">. </w:t>
      </w:r>
      <w:r>
        <w:rPr>
          <w:rtl w:val="true"/>
        </w:rPr>
        <w:t>התגלע ויכוח בין בני הזוג</w:t>
      </w:r>
      <w:r>
        <w:rPr>
          <w:rtl w:val="true"/>
        </w:rPr>
        <w:t xml:space="preserve">, </w:t>
      </w:r>
      <w:r>
        <w:rPr>
          <w:rtl w:val="true"/>
        </w:rPr>
        <w:t>במהלכו החל הנאשם לגדף את המתלוננת והכה עם מרפקו בבטנה של המתלוננת באזור הניתוח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המתלוננת התקשרה למשטרה והנאשם נמלט מהבית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 xml:space="preserve">אישום </w:t>
      </w:r>
      <w:r>
        <w:rPr>
          <w:u w:val="single"/>
        </w:rPr>
        <w:t>2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האירוע נשוא כתב האישום הראשון</w:t>
      </w:r>
      <w:r>
        <w:rPr>
          <w:rtl w:val="true"/>
        </w:rPr>
        <w:t xml:space="preserve">, </w:t>
      </w:r>
      <w:r>
        <w:rPr>
          <w:rtl w:val="true"/>
        </w:rPr>
        <w:t>נעשו מספר מאמצים על ידי משטרת ישראל לאתר את הנאשם</w:t>
      </w:r>
      <w:r>
        <w:rPr>
          <w:rtl w:val="true"/>
        </w:rPr>
        <w:t xml:space="preserve">, </w:t>
      </w:r>
      <w:r>
        <w:rPr>
          <w:rtl w:val="true"/>
        </w:rPr>
        <w:t>אך למרות שהנאשם ידע כי הוא דרוש לחקירה</w:t>
      </w:r>
      <w:r>
        <w:rPr>
          <w:rtl w:val="true"/>
        </w:rPr>
        <w:t xml:space="preserve">, </w:t>
      </w:r>
      <w:r>
        <w:rPr>
          <w:rtl w:val="true"/>
        </w:rPr>
        <w:t>לא סר לתחנת 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ביום </w:t>
      </w:r>
      <w:r>
        <w:rPr/>
        <w:t>22.3.13</w:t>
      </w:r>
      <w:r>
        <w:rPr>
          <w:rtl w:val="true"/>
        </w:rPr>
        <w:t xml:space="preserve">, </w:t>
      </w:r>
      <w:r>
        <w:rPr>
          <w:rtl w:val="true"/>
        </w:rPr>
        <w:t>עיכבו שני שוטרים רכב שבו נהג אחר אשר זהותו אינה ידועה למאשימה</w:t>
      </w:r>
      <w:r>
        <w:rPr>
          <w:rtl w:val="true"/>
        </w:rPr>
        <w:t xml:space="preserve">, </w:t>
      </w:r>
      <w:r>
        <w:rPr>
          <w:rtl w:val="true"/>
        </w:rPr>
        <w:t>והנאשם ישב על ידו</w:t>
      </w:r>
      <w:r>
        <w:rPr>
          <w:rtl w:val="true"/>
        </w:rPr>
        <w:t xml:space="preserve">. </w:t>
      </w:r>
      <w:r>
        <w:rPr>
          <w:rtl w:val="true"/>
        </w:rPr>
        <w:t>השוטרים שאלו לפרטיו של הנאשם</w:t>
      </w:r>
      <w:r>
        <w:rPr>
          <w:rtl w:val="true"/>
        </w:rPr>
        <w:t xml:space="preserve">, </w:t>
      </w:r>
      <w:r>
        <w:rPr>
          <w:rtl w:val="true"/>
        </w:rPr>
        <w:t>והוא מסר את שם האח וכי אינו זוכר את מספר תעודת הזהות שלו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ההסדר הדיוני נשלח הנאשם לקבלת תסקיר שרות מבחן לאחר הרשעתו כאשר המאשימה הודיעה אותה עת כי אין הסדר לעניין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תסקיר מיום </w:t>
      </w:r>
      <w:r>
        <w:rPr/>
        <w:t>16.2.14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בן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נשוי ואב לשלושה</w:t>
      </w:r>
      <w:r>
        <w:rPr>
          <w:rtl w:val="true"/>
        </w:rPr>
        <w:t xml:space="preserve">. </w:t>
      </w:r>
      <w:r>
        <w:rPr>
          <w:rtl w:val="true"/>
        </w:rPr>
        <w:t>אינו עובד באופן מסודר</w:t>
      </w:r>
      <w:r>
        <w:rPr>
          <w:rtl w:val="true"/>
        </w:rPr>
        <w:t xml:space="preserve">. </w:t>
      </w:r>
      <w:r>
        <w:rPr>
          <w:rtl w:val="true"/>
        </w:rPr>
        <w:t>מוכר לשירות המבחן מאבחונים קודמים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נולד בעזה ובשנת </w:t>
      </w:r>
      <w:r>
        <w:rPr/>
        <w:t>1992</w:t>
      </w:r>
      <w:r>
        <w:rPr>
          <w:rtl w:val="true"/>
        </w:rPr>
        <w:t xml:space="preserve"> </w:t>
      </w:r>
      <w:r>
        <w:rPr>
          <w:rtl w:val="true"/>
        </w:rPr>
        <w:t>עלה עם אמו ואחיו להתגורר בארץ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הסביר כי עם המעבר לארץ התגוררו בשכונת מצוקה בלוד</w:t>
      </w:r>
      <w:r>
        <w:rPr>
          <w:rtl w:val="true"/>
        </w:rPr>
        <w:t xml:space="preserve">, </w:t>
      </w:r>
      <w:r>
        <w:rPr>
          <w:rtl w:val="true"/>
        </w:rPr>
        <w:t>בה נחשף לחיים שוליים ועבריינות</w:t>
      </w:r>
      <w:r>
        <w:rPr>
          <w:rtl w:val="true"/>
        </w:rPr>
        <w:t xml:space="preserve">. </w:t>
      </w:r>
      <w:r>
        <w:rPr>
          <w:rtl w:val="true"/>
        </w:rPr>
        <w:t xml:space="preserve">הנאשם נשר מלימודים לאחר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 עקב קשיים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שוחח עם המתלוננת והתרשם מאשה מסורתית</w:t>
      </w:r>
      <w:r>
        <w:rPr>
          <w:rtl w:val="true"/>
        </w:rPr>
        <w:t xml:space="preserve">, </w:t>
      </w:r>
      <w:r>
        <w:rPr>
          <w:rtl w:val="true"/>
        </w:rPr>
        <w:t>אשר מגלה דאגה רבה למצבו של הנאשם</w:t>
      </w:r>
      <w:r>
        <w:rPr>
          <w:rtl w:val="true"/>
        </w:rPr>
        <w:t xml:space="preserve">. </w:t>
      </w:r>
      <w:r>
        <w:rPr>
          <w:rtl w:val="true"/>
        </w:rPr>
        <w:t>שללה אלימות מצדו בדרך כלל</w:t>
      </w:r>
      <w:r>
        <w:rPr>
          <w:rtl w:val="true"/>
        </w:rPr>
        <w:t xml:space="preserve">, </w:t>
      </w:r>
      <w:r>
        <w:rPr>
          <w:rtl w:val="true"/>
        </w:rPr>
        <w:t>אך מסרה כי קיים מתח וקונפליקטים במקרים בהם הוא תחת השפעת אלכוהול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 עבר פלילי</w:t>
      </w:r>
      <w:r>
        <w:rPr>
          <w:rtl w:val="true"/>
        </w:rPr>
        <w:t xml:space="preserve">. </w:t>
      </w:r>
      <w:r>
        <w:rPr>
          <w:rtl w:val="true"/>
        </w:rPr>
        <w:t>נידון בעבר בגין ביצוע עבירות 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אלימות במשפחה וסמים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 xml:space="preserve">נדון למאסר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 בגין עבירת אלימות חמורה שביצע כלפי בת זוג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התרשם כי לנאשם קשה להתייחס לבעייתיות שעולה מאורח חייו</w:t>
      </w:r>
      <w:r>
        <w:rPr>
          <w:rtl w:val="true"/>
        </w:rPr>
        <w:t xml:space="preserve">. </w:t>
      </w:r>
      <w:r>
        <w:rPr>
          <w:rtl w:val="true"/>
        </w:rPr>
        <w:t>בעבר הוצע לו להשתלב בטיפול במסגרת שירות המבחן</w:t>
      </w:r>
      <w:r>
        <w:rPr>
          <w:rtl w:val="true"/>
        </w:rPr>
        <w:t xml:space="preserve">, </w:t>
      </w:r>
      <w:r>
        <w:rPr>
          <w:rtl w:val="true"/>
        </w:rPr>
        <w:t>אך הנאשם שלל כל צורך ועל כן שירות המבחן נמנע ממתן המלצה טיפולית בעניינו בעבר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בנוגע לתיק זה</w:t>
      </w:r>
      <w:r>
        <w:rPr>
          <w:rtl w:val="true"/>
        </w:rPr>
        <w:t xml:space="preserve">, </w:t>
      </w:r>
      <w:r>
        <w:rPr>
          <w:rtl w:val="true"/>
        </w:rPr>
        <w:t>הנאשם שלל התנהגות אלימה כלפי המתלוננת ובכלל</w:t>
      </w:r>
      <w:r>
        <w:rPr>
          <w:rtl w:val="true"/>
        </w:rPr>
        <w:t xml:space="preserve">, </w:t>
      </w:r>
      <w:r>
        <w:rPr>
          <w:rtl w:val="true"/>
        </w:rPr>
        <w:t>שלל שימוש בסמים או בעייתיות בדפוסי שתייתו לאלכוהול</w:t>
      </w:r>
      <w:r>
        <w:rPr>
          <w:rtl w:val="true"/>
        </w:rPr>
        <w:t xml:space="preserve">. </w:t>
      </w:r>
      <w:r>
        <w:rPr>
          <w:rtl w:val="true"/>
        </w:rPr>
        <w:t>שירות המבחן התרשם שלנאשם קשה ליתן אמון וכי הוא משתף באופן סלקטיבי במצבו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נוטל אחריות חלקית על ביצוע העבירות</w:t>
      </w:r>
      <w:r>
        <w:rPr>
          <w:rtl w:val="true"/>
        </w:rPr>
        <w:t xml:space="preserve">. </w:t>
      </w:r>
      <w:r>
        <w:rPr>
          <w:rtl w:val="true"/>
        </w:rPr>
        <w:t>הוא שולל כוונה לפגוע במתלוננת ומסביר את התנהגותו התוקפנית על רקע היותו בגילופין</w:t>
      </w:r>
      <w:r>
        <w:rPr>
          <w:rtl w:val="true"/>
        </w:rPr>
        <w:t xml:space="preserve">. </w:t>
      </w:r>
      <w:r>
        <w:rPr>
          <w:rtl w:val="true"/>
        </w:rPr>
        <w:t>הנאשם ביטא מוכנות ראשונית לפנות לאבחון באשר לצריכת אלכוהול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המתלוננת נטתה לצמצם ולמזער את היקף ועומק הקשיים עמם מתמודדת מול הנאשם ושללה התנהגות אלימה כלפיה בעבר</w:t>
      </w:r>
      <w:r>
        <w:rPr>
          <w:rtl w:val="true"/>
        </w:rPr>
        <w:t xml:space="preserve">. </w:t>
      </w:r>
      <w:r>
        <w:rPr>
          <w:rtl w:val="true"/>
        </w:rPr>
        <w:t>המתלוננת התמקדה בבעיית השתייה של הנאשם ובהשלכותיה על תפקודו ועל מערכת היחסים הזוגית</w:t>
      </w:r>
      <w:r>
        <w:rPr>
          <w:rtl w:val="true"/>
        </w:rPr>
        <w:t xml:space="preserve">. </w:t>
      </w:r>
      <w:r>
        <w:rPr>
          <w:rtl w:val="true"/>
        </w:rPr>
        <w:t>המתלוננת ביטאה עייפות מהתמודדותה מול מצבו הלא יציב של הנאשם</w:t>
      </w:r>
      <w:r>
        <w:rPr>
          <w:rtl w:val="true"/>
        </w:rPr>
        <w:t xml:space="preserve">, </w:t>
      </w:r>
      <w:r>
        <w:rPr>
          <w:rtl w:val="true"/>
        </w:rPr>
        <w:t>וחוסר אונים עקב קשייה להשפיע עליו ולהביא לשינוי במצבו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סבור כי יש להפנות את הנאשם לאבחון וטיפול במסגרת עמותת אפש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במטרה לאבחן את מידת התלות שלו באלכוהול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שירות המבחן המליץ לדחות את הדיון בשלושה חודשים</w:t>
      </w:r>
      <w:r>
        <w:rPr>
          <w:rtl w:val="true"/>
        </w:rPr>
        <w:t xml:space="preserve">, </w:t>
      </w:r>
      <w:r>
        <w:rPr>
          <w:rtl w:val="true"/>
        </w:rPr>
        <w:t>כדי שהנאשם ישתלב בטיפול ויוגש תסקיר משלים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תסקיר מיום </w:t>
      </w:r>
      <w:r>
        <w:rPr>
          <w:b/>
          <w:bCs/>
          <w:u w:val="single"/>
        </w:rPr>
        <w:t>25.5.14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ביטא בהתחלה נכונות לפנות לעמותת אפש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אולם בפועל ניתק עם שירות המבחן קשר ולא נענה לניסיונות ליצור עמו קשר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התרשם כי הנאשם אינו מצליח לגייס כוחות בעיתוי הנוכחי ולהתחייב להליך טיפולי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שירות המבחן ממליץ להטיל על הנאשם עונש קונקרטי ומוחשי שישקף את חומרת מצבו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חוות דעת ממונה על עבודות שירות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ביום </w:t>
      </w:r>
      <w:r>
        <w:rPr/>
        <w:t>17.6.14</w:t>
      </w:r>
      <w:r>
        <w:rPr>
          <w:rtl w:val="true"/>
        </w:rPr>
        <w:t xml:space="preserve"> </w:t>
      </w:r>
      <w:r>
        <w:rPr>
          <w:rtl w:val="true"/>
        </w:rPr>
        <w:t>התקבלה חוות דעת לפיה הנאשם מתאים לביצוע 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 זאת נכתב כי הנאשם העלה בפני הממונה בעיות כלכליות אשר יקשו עליו לרצות את עונשו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התבקש להזהיר את הנאשם כי במידה ולא יתפקד כנדרש</w:t>
      </w:r>
      <w:r>
        <w:rPr>
          <w:rtl w:val="true"/>
        </w:rPr>
        <w:t xml:space="preserve">, </w:t>
      </w:r>
      <w:r>
        <w:rPr>
          <w:rtl w:val="true"/>
        </w:rPr>
        <w:t>יאלץ לרצות את עונשו בדרך של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עתירת 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 חוזרת על עיקרי כתב האישום ומדגישה את חומרת מעשיו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לנאשם הרשעות קודמות רבות בין השנים </w:t>
      </w:r>
      <w:r>
        <w:rPr/>
        <w:t>2005-2012</w:t>
      </w:r>
      <w:r>
        <w:rPr>
          <w:rtl w:val="true"/>
        </w:rPr>
        <w:t xml:space="preserve"> </w:t>
      </w:r>
      <w:r>
        <w:rPr>
          <w:rtl w:val="true"/>
        </w:rPr>
        <w:t>בעבירות סמים</w:t>
      </w:r>
      <w:r>
        <w:rPr>
          <w:rtl w:val="true"/>
        </w:rPr>
        <w:t xml:space="preserve">,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לנאשם הרשעה משנת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בעבירות אלימות חמורות לרבות תקיפה חבלנית של בת זוג</w:t>
      </w:r>
      <w:r>
        <w:rPr>
          <w:rtl w:val="true"/>
        </w:rPr>
        <w:t xml:space="preserve">, </w:t>
      </w:r>
      <w:r>
        <w:rPr>
          <w:rtl w:val="true"/>
        </w:rPr>
        <w:t xml:space="preserve">בגינה ריצה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 חוזרת על מסקנות שירות המבחן</w:t>
      </w:r>
      <w:r>
        <w:rPr>
          <w:rtl w:val="true"/>
        </w:rPr>
        <w:t xml:space="preserve">, </w:t>
      </w:r>
      <w:r>
        <w:rPr>
          <w:rtl w:val="true"/>
        </w:rPr>
        <w:t>אשר סבור כי הנאשם מתקשה להתייחס לאורח חייו כבעייתי ולקח רק אחריות חלקית על 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ביצע את העבירה תחת השפעת אלכוהול</w:t>
      </w:r>
      <w:r>
        <w:rPr>
          <w:rtl w:val="true"/>
        </w:rPr>
        <w:t xml:space="preserve">, </w:t>
      </w:r>
      <w:r>
        <w:rPr>
          <w:rtl w:val="true"/>
        </w:rPr>
        <w:t>כאשר בעיית האלכוהול לא קיבלה מענה טיפולי עקב היעדר שיתוף פעולה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המאשימה עותרת למאסר בפועל שיכול וירוצה בדרך של עבודות שירות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ומאסר על 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 מציינת כי הנאשם גר עם המתלוננת קרוב 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לא נפתחו נגדו תיקים חדשים</w:t>
      </w:r>
      <w:r>
        <w:rPr>
          <w:rtl w:val="true"/>
        </w:rPr>
        <w:t xml:space="preserve">, </w:t>
      </w:r>
      <w:r>
        <w:rPr>
          <w:rtl w:val="true"/>
        </w:rPr>
        <w:t>וכי הזוגיות של בני הזוג טובה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המתלוננת שללה אלימות כלפיה בעבר וגם מאז האירוע נשוא כתב האישום</w:t>
      </w:r>
      <w:r>
        <w:rPr>
          <w:rtl w:val="true"/>
        </w:rPr>
        <w:t xml:space="preserve">. </w:t>
      </w:r>
      <w:r>
        <w:rPr>
          <w:rtl w:val="true"/>
        </w:rPr>
        <w:t>מדובר באירוע חד פעמי</w:t>
      </w:r>
      <w:r>
        <w:rPr>
          <w:rtl w:val="true"/>
        </w:rPr>
        <w:t xml:space="preserve">, </w:t>
      </w:r>
      <w:r>
        <w:rPr>
          <w:rtl w:val="true"/>
        </w:rPr>
        <w:t>כאשר הנאשם הודה וחסך זמן שיפוטי יקר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 מציינת כי אמנם יש לנאשם עבר פלילי</w:t>
      </w:r>
      <w:r>
        <w:rPr>
          <w:rtl w:val="true"/>
        </w:rPr>
        <w:t xml:space="preserve">, </w:t>
      </w:r>
      <w:r>
        <w:rPr>
          <w:rtl w:val="true"/>
        </w:rPr>
        <w:t>אך 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עבירת האלימות של תקיפת בת זוג היא משנת </w:t>
      </w:r>
      <w:r>
        <w:rPr/>
        <w:t>2005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ההגנה מציינת כי הנאשם הורחק מביתו למשך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 xml:space="preserve">ולמרות שיכול היה לחזור הביתה לאחר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מבלי לקבל אישור מאף גורם</w:t>
      </w:r>
      <w:r>
        <w:rPr>
          <w:rtl w:val="true"/>
        </w:rPr>
        <w:t xml:space="preserve">, </w:t>
      </w:r>
      <w:r>
        <w:rPr>
          <w:rtl w:val="true"/>
        </w:rPr>
        <w:t>הנאשם פנה לביתה משפט בראשון לציון והחזרה שלו לבית היתה הדרגתית ומבוקרת על ידי שירות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 סבורה כי שליחת הנאשם לעבודות שירות</w:t>
      </w:r>
      <w:r>
        <w:rPr>
          <w:rtl w:val="true"/>
        </w:rPr>
        <w:t xml:space="preserve">, </w:t>
      </w:r>
      <w:r>
        <w:rPr>
          <w:rtl w:val="true"/>
        </w:rPr>
        <w:t>תחטיא את המטרה ויש לשים דגש על השיקום של הנאשם ולכן שבני הזוג חזרו להתגורר ביחד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 עותרת לענישה צופה פני 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ההלכה קבעה שלושה שלבים לגזירת הדין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5.8.13</w:t>
      </w:r>
      <w:r>
        <w:rPr>
          <w:rtl w:val="true"/>
        </w:rPr>
        <w:t>)].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 הראשון</w:t>
      </w:r>
      <w:r>
        <w:rPr>
          <w:rtl w:val="true"/>
        </w:rPr>
        <w:t xml:space="preserve">, </w:t>
      </w:r>
      <w:r>
        <w:rPr>
          <w:rtl w:val="true"/>
        </w:rPr>
        <w:t>על בית המשפט לבחון האם הנאשם הורשע במספר עבירות או עבירה אחת</w:t>
      </w:r>
      <w:r>
        <w:rPr>
          <w:rtl w:val="true"/>
        </w:rPr>
        <w:t xml:space="preserve">, </w:t>
      </w:r>
      <w:r>
        <w:rPr>
          <w:rtl w:val="true"/>
        </w:rPr>
        <w:t>ואם הן מהוות אירוע אחד או אירועים נפרדים</w:t>
      </w:r>
      <w:r>
        <w:rPr>
          <w:rtl w:val="true"/>
        </w:rPr>
        <w:t xml:space="preserve">. </w:t>
      </w:r>
      <w:r>
        <w:rPr>
          <w:rtl w:val="true"/>
        </w:rPr>
        <w:t>במידה והנאשם הורשע במספר עבירות</w:t>
      </w:r>
      <w:r>
        <w:rPr>
          <w:rtl w:val="true"/>
        </w:rPr>
        <w:t xml:space="preserve">, </w:t>
      </w:r>
      <w:r>
        <w:rPr>
          <w:rtl w:val="true"/>
        </w:rPr>
        <w:t>אשר מהוות 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יקבע בית המשפט מתחם ענישה לאירוע כולו ויגזור עונש כולל לכל העבירות הקשורות לאותו אירוע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הנאשמת הורשעה בשתי עבירות אשר מהוות אירוע אחד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ייקבע מתחם ענישה כולל לשתי 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 השני</w:t>
      </w:r>
      <w:r>
        <w:rPr>
          <w:rtl w:val="true"/>
        </w:rPr>
        <w:t xml:space="preserve">, </w:t>
      </w:r>
      <w:r>
        <w:rPr>
          <w:rtl w:val="true"/>
        </w:rPr>
        <w:t>בית המשפט יקבע את מתחם הענישה הראוי</w:t>
      </w:r>
      <w:r>
        <w:rPr>
          <w:rtl w:val="true"/>
        </w:rPr>
        <w:t xml:space="preserve">. </w:t>
      </w:r>
      <w:r>
        <w:rPr>
          <w:rtl w:val="true"/>
        </w:rPr>
        <w:t>בקביעת מתחם הענישה הראוי על בית המשפט להתחשב בערך החברתי שנפגע ומידת הפגיעה בו</w:t>
      </w:r>
      <w:r>
        <w:rPr>
          <w:rtl w:val="true"/>
        </w:rPr>
        <w:t xml:space="preserve">, </w:t>
      </w:r>
      <w:r>
        <w:rPr>
          <w:rtl w:val="true"/>
        </w:rPr>
        <w:t>קרי חומרת העבירה</w:t>
      </w:r>
      <w:r>
        <w:rPr>
          <w:rtl w:val="true"/>
        </w:rPr>
        <w:t xml:space="preserve">, </w:t>
      </w:r>
      <w:r>
        <w:rPr>
          <w:rtl w:val="true"/>
        </w:rPr>
        <w:t>במדיניות הענישה הנהוגה ובנסיבות הקשורות בביצוע 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 השלישי</w:t>
      </w:r>
      <w:r>
        <w:rPr>
          <w:rtl w:val="true"/>
        </w:rPr>
        <w:t xml:space="preserve">, </w:t>
      </w:r>
      <w:r>
        <w:rPr>
          <w:rtl w:val="true"/>
        </w:rPr>
        <w:t>בית המשפט בוחן את הנסיבות שאינן קשורות לעבירה</w:t>
      </w:r>
      <w:r>
        <w:rPr>
          <w:rtl w:val="true"/>
        </w:rPr>
        <w:t xml:space="preserve">, </w:t>
      </w:r>
      <w:r>
        <w:rPr>
          <w:rtl w:val="true"/>
        </w:rPr>
        <w:t>ובהתחשב בהן גוזר בית המשפט עונש המצוי במתחם הענישה שנקבע בשלב השני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הערך החברתי שנפגע – הערך המוגן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הערך החברתי המוגן שנפגע מעבירות האלימות שביצע הנאשם הוא הגנה על בטחונו האישי</w:t>
      </w:r>
      <w:r>
        <w:rPr>
          <w:rtl w:val="true"/>
        </w:rPr>
        <w:t xml:space="preserve">, </w:t>
      </w:r>
      <w:r>
        <w:rPr>
          <w:rtl w:val="true"/>
        </w:rPr>
        <w:t>שלמות גופו ושלוות נפשו של הפרט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נפגעה שלמות התא המשפחתי בשל אלימות פיזית ומילולית המופעלת על ידי החזק כלפי החלש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יפים לעניין זה הדברים שנאמרו 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6758/07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11.10.07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מעשי אלימות בתוך המשפחה נתפסים כבעלי חומרה מיוחדת במערכת האיסורים הפליליים העוסקים בעבירות אלימות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הציפייה האנושית הטבעית הינה כי  בתוך משפחה ישררו יחסי אהבה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הרמוניה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וכבוד הדדי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הפרתה של ציפייה זו הופכת את השימוש באלימות במשפחה לתופעה העומדת בניגוד עמוק לחוש הצדק האנושי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במסגרת המשפחה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מופעלת האלימות על פי רוב בידי החזק כלפי החלש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פערי הכוחות הם גדולים כשמדובר באלימות כלפי קטינים</w:t>
      </w:r>
      <w:r>
        <w:rPr>
          <w:b/>
          <w:bCs/>
          <w:rtl w:val="true"/>
        </w:rPr>
        <w:t xml:space="preserve">...; </w:t>
      </w:r>
      <w:r>
        <w:rPr>
          <w:b/>
          <w:b/>
          <w:bCs/>
          <w:rtl w:val="true"/>
        </w:rPr>
        <w:t>באלימות במשפחה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נגישותם של קרבנות העבירה למערכת המשטרתית או למערכות הסיוע האחרות היא ענין מורכב וקשה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הטעון רגשות חזקים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פחדים ואימה</w:t>
      </w:r>
      <w:r>
        <w:rPr>
          <w:b/>
          <w:bCs/>
          <w:rtl w:val="true"/>
        </w:rPr>
        <w:t xml:space="preserve">..".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מידת הפגיעה בערכים המוגנים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מידת הפגיעה במקרה דנן היא ממשית</w:t>
      </w:r>
      <w:r>
        <w:rPr>
          <w:rtl w:val="true"/>
        </w:rPr>
        <w:t xml:space="preserve">. </w:t>
      </w:r>
      <w:r>
        <w:rPr>
          <w:rtl w:val="true"/>
        </w:rPr>
        <w:t>הנאשם נהג באלימות כלפי בת זוגתו</w:t>
      </w:r>
      <w:r>
        <w:rPr>
          <w:rtl w:val="true"/>
        </w:rPr>
        <w:t xml:space="preserve">, </w:t>
      </w:r>
      <w:r>
        <w:rPr>
          <w:rtl w:val="true"/>
        </w:rPr>
        <w:t>כאשר היה תחת השפעת אלכוהול</w:t>
      </w:r>
      <w:r>
        <w:rPr>
          <w:rtl w:val="true"/>
        </w:rPr>
        <w:t xml:space="preserve">. </w:t>
      </w:r>
      <w:r>
        <w:rPr>
          <w:rtl w:val="true"/>
        </w:rPr>
        <w:t>הנאשם הכה את המתלוננת באמצעות מרפקו בבטנה</w:t>
      </w:r>
      <w:r>
        <w:rPr>
          <w:rtl w:val="true"/>
        </w:rPr>
        <w:t xml:space="preserve">, </w:t>
      </w:r>
      <w:r>
        <w:rPr>
          <w:rtl w:val="true"/>
        </w:rPr>
        <w:t>כאשר ידע כי עברה ניתוח בבטנה מספר ימים קודם לכן וטרם הוצאו התפרים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 המשפט עמדו לא פעם על החומרה הנובעת מעבירת אלימות כלפי בנות זוג</w:t>
      </w:r>
      <w:r>
        <w:rPr>
          <w:rtl w:val="true"/>
        </w:rPr>
        <w:t xml:space="preserve">, </w:t>
      </w:r>
      <w:r>
        <w:rPr>
          <w:rtl w:val="true"/>
        </w:rPr>
        <w:t>בשל הקושי והפחד של המתלוננת ללכת להתלונן</w:t>
      </w:r>
      <w:r>
        <w:rPr>
          <w:rtl w:val="true"/>
        </w:rPr>
        <w:t xml:space="preserve">, </w:t>
      </w:r>
      <w:r>
        <w:rPr>
          <w:rtl w:val="true"/>
        </w:rPr>
        <w:t>מתוך רצון לשמור על שלמות התא המשפחתי והתלות הרגשית והכלכלית בבן הזוג המכה</w:t>
      </w:r>
      <w:r>
        <w:rPr>
          <w:rtl w:val="true"/>
        </w:rPr>
        <w:t xml:space="preserve">. </w:t>
      </w:r>
      <w:r>
        <w:rPr>
          <w:rtl w:val="true"/>
        </w:rPr>
        <w:t>לכך מצטרפים בדרך כלל רגשות אשם</w:t>
      </w:r>
      <w:r>
        <w:rPr>
          <w:rtl w:val="true"/>
        </w:rPr>
        <w:t xml:space="preserve">, </w:t>
      </w:r>
      <w:r>
        <w:rPr>
          <w:rtl w:val="true"/>
        </w:rPr>
        <w:t>פחד ובושה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קיים צורך גדול להגן על קורבנות האלימות</w:t>
      </w:r>
      <w:r>
        <w:rPr>
          <w:rtl w:val="true"/>
        </w:rPr>
        <w:t xml:space="preserve">, </w:t>
      </w:r>
      <w:r>
        <w:rPr>
          <w:rtl w:val="true"/>
        </w:rPr>
        <w:t>על ידי הטלת עונשים הולמים ומרתיעים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יפים לעניין זה הדברים שנכתבו 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6758/07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11.10.07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יתר על 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במסגרת המשפחה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מופעלת האלימות על פי רוב בידי החזק כלפי החלש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פערי הכוחות הם גדולים כשמדובר באלימות כלפי קטינים או כלפי בת זוג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באלימות במשפחה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נגישותם של קרבנות העבירה למערכת המשטרתית או למערכות הסיוע האחרות היא ענין מרוכב וקשה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הטעון רגשות חזקים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פחדים ואימה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הבושה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והרצון לשמור על שלמות המשפחה הופך לא אחת את התלונה על אלימות במשפחה למהלך קשה וטעון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 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קיימת תלות כלכלית ורגשית של בן הזוג המוכה בבן הזוג המכה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ותלות זו גם היא מקשה על חשיפת הפגיעה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גורמים אלה ואחרים בשילובם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משווים מימד מחמיר לעבירות אלימות במשפחה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נפוצותן של עבירות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והצורך להגן על קרבנות האלימות שהם על פי רוב חסרי ישע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תורמים אף הם להחמרה הנדרשת בענישה בעבירות אלה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וכן הדברים שנכתבו ב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11917/04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נורדיצקי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י </w:t>
      </w:r>
      <w:r>
        <w:rPr>
          <w:rtl w:val="true"/>
        </w:rPr>
        <w:t>(</w:t>
      </w:r>
      <w:r>
        <w:rPr/>
        <w:t>19.5.05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בתי המשפט חזרו לא אחת על הצורך להוקיע את מעשי האלימות ולשרש תופעות אלה ממחוזותינו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 חמור מכך שאישה לא תהא מוגנת בביתה שאמור להיות מבצרה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באשר לענישה בעבירה של </w:t>
      </w:r>
      <w:r>
        <w:rPr>
          <w:b/>
          <w:b/>
          <w:bCs/>
          <w:rtl w:val="true"/>
        </w:rPr>
        <w:t>תקיפה סתם – בן זוג</w:t>
      </w:r>
      <w:r>
        <w:rPr>
          <w:rtl w:val="true"/>
        </w:rPr>
        <w:t xml:space="preserve">, </w:t>
      </w:r>
      <w:r>
        <w:rPr>
          <w:rtl w:val="true"/>
        </w:rPr>
        <w:t>עיון בפסיקה מעלה כי מתחם הענישה נע ממאסר בפועל שיכול וירוצה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וכלה בעונשי מאסר לתקופה משמעותית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במכלול הנסיבות מוצאת אני  כי </w:t>
      </w:r>
      <w:r>
        <w:rPr>
          <w:b/>
          <w:b/>
          <w:bCs/>
          <w:rtl w:val="true"/>
        </w:rPr>
        <w:t>מתחם הענישה</w:t>
      </w:r>
      <w:r>
        <w:rPr>
          <w:rtl w:val="true"/>
        </w:rPr>
        <w:t xml:space="preserve"> בגין העבירות שביצע הנאשם</w:t>
      </w:r>
      <w:r>
        <w:rPr>
          <w:rtl w:val="true"/>
        </w:rPr>
        <w:t xml:space="preserve">, </w:t>
      </w:r>
      <w:r>
        <w:rPr>
          <w:rtl w:val="true"/>
        </w:rPr>
        <w:t>נע בין מאסר בפועל לתקופה שלחודשים ספורים אשר יכול וירוצה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לבין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לעניין עבירת </w:t>
      </w:r>
      <w:r>
        <w:rPr>
          <w:b/>
          <w:b/>
          <w:bCs/>
          <w:rtl w:val="true"/>
        </w:rPr>
        <w:t>ההתחזות כאדם אחר במטרה להונות</w:t>
      </w:r>
      <w:r>
        <w:rPr>
          <w:rtl w:val="true"/>
        </w:rPr>
        <w:t xml:space="preserve">, </w:t>
      </w:r>
      <w:r>
        <w:rPr>
          <w:rtl w:val="true"/>
        </w:rPr>
        <w:t>עבירה זו הובילה לפגיעה בערכים החשובים שעניינם שמירה על שלטון החוק</w:t>
      </w:r>
      <w:r>
        <w:rPr>
          <w:rtl w:val="true"/>
        </w:rPr>
        <w:t xml:space="preserve">, </w:t>
      </w:r>
      <w:r>
        <w:rPr>
          <w:rtl w:val="true"/>
        </w:rPr>
        <w:t>הגנה על מערכת אכיפת החוק ופעילותה התקינה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ידע כי הוא דרוש לחקירה בגין עבירת האלימות</w:t>
      </w:r>
      <w:r>
        <w:rPr>
          <w:rtl w:val="true"/>
        </w:rPr>
        <w:t xml:space="preserve">, </w:t>
      </w:r>
      <w:r>
        <w:rPr>
          <w:rtl w:val="true"/>
        </w:rPr>
        <w:t>אך לא הגיע לתחנת המשטרה</w:t>
      </w:r>
      <w:r>
        <w:rPr>
          <w:rtl w:val="true"/>
        </w:rPr>
        <w:t xml:space="preserve">, </w:t>
      </w:r>
      <w:r>
        <w:rPr>
          <w:rtl w:val="true"/>
        </w:rPr>
        <w:t>וכאשר השוטרים שאלו לשמו</w:t>
      </w:r>
      <w:r>
        <w:rPr>
          <w:rtl w:val="true"/>
        </w:rPr>
        <w:t xml:space="preserve">, </w:t>
      </w:r>
      <w:r>
        <w:rPr>
          <w:rtl w:val="true"/>
        </w:rPr>
        <w:t>בחר להתחזות הנאשם לאחיו בכוונה להונות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 xml:space="preserve">מאחר שהעבירה באה בעקבות העבירה הקודמת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לקחתי אותה בחשבון בקביעת המתחם כאמור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 שאינן קשורות לביצוע העבירות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 עבר פלילי עשיר</w:t>
      </w:r>
      <w:r>
        <w:rPr>
          <w:rtl w:val="true"/>
        </w:rPr>
        <w:t xml:space="preserve">, </w:t>
      </w:r>
      <w:r>
        <w:rPr>
          <w:rtl w:val="true"/>
        </w:rPr>
        <w:t>בעבירות אלימות</w:t>
      </w:r>
      <w:r>
        <w:rPr>
          <w:rtl w:val="true"/>
        </w:rPr>
        <w:t xml:space="preserve">, </w:t>
      </w:r>
      <w:r>
        <w:rPr>
          <w:rtl w:val="true"/>
        </w:rPr>
        <w:t>רכוש וסמים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ריצה עונש מאסר בן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חודשים בגין עבירת אלימות חמורה נגד בת זוג בשנת </w:t>
      </w:r>
      <w:r>
        <w:rPr/>
        <w:t>2005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 בעיית התמכרות לאלכוהול</w:t>
      </w:r>
      <w:r>
        <w:rPr>
          <w:rtl w:val="true"/>
        </w:rPr>
        <w:t xml:space="preserve">, </w:t>
      </w:r>
      <w:r>
        <w:rPr>
          <w:rtl w:val="true"/>
        </w:rPr>
        <w:t>אשר אין ספק כי היא משפיעה על התנהגותו</w:t>
      </w:r>
      <w:r>
        <w:rPr>
          <w:rtl w:val="true"/>
        </w:rPr>
        <w:t xml:space="preserve">, </w:t>
      </w:r>
      <w:r>
        <w:rPr>
          <w:rtl w:val="true"/>
        </w:rPr>
        <w:t>והובילה לביצוע עבירת האלימות נשוא תיק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הודה באופן חלקי בלבד במעשיו</w:t>
      </w:r>
      <w:r>
        <w:rPr>
          <w:rtl w:val="true"/>
        </w:rPr>
        <w:t xml:space="preserve">, </w:t>
      </w:r>
      <w:r>
        <w:rPr>
          <w:rtl w:val="true"/>
        </w:rPr>
        <w:t>והתרשמתי כי לא הביע חרטה כנה ואמיתית</w:t>
      </w:r>
      <w:r>
        <w:rPr>
          <w:rtl w:val="true"/>
        </w:rPr>
        <w:t xml:space="preserve">, </w:t>
      </w:r>
      <w:r>
        <w:rPr>
          <w:rtl w:val="true"/>
        </w:rPr>
        <w:t>אלא ניסה למזער את חומרת 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לא שיתף פעולה עם שירות המבחן</w:t>
      </w:r>
      <w:r>
        <w:rPr>
          <w:rtl w:val="true"/>
        </w:rPr>
        <w:t xml:space="preserve">, </w:t>
      </w:r>
      <w:r>
        <w:rPr>
          <w:rtl w:val="true"/>
        </w:rPr>
        <w:t>וסבור כי אינו זקוק להליך שיקומי או טיפולי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אמנם הנאשם חזר לביתו בצורה הדרגתית</w:t>
      </w:r>
      <w:r>
        <w:rPr>
          <w:rtl w:val="true"/>
        </w:rPr>
        <w:t xml:space="preserve">, </w:t>
      </w:r>
      <w:r>
        <w:rPr>
          <w:rtl w:val="true"/>
        </w:rPr>
        <w:t>ובני הזוג ממשיכים לנהל משק בית משותף</w:t>
      </w:r>
      <w:r>
        <w:rPr>
          <w:rtl w:val="true"/>
        </w:rPr>
        <w:t xml:space="preserve">, </w:t>
      </w:r>
      <w:r>
        <w:rPr>
          <w:rtl w:val="true"/>
        </w:rPr>
        <w:t>אך ככל שבעיית האלכוהול של הנאשם לא נפתרה</w:t>
      </w:r>
      <w:r>
        <w:rPr>
          <w:rtl w:val="true"/>
        </w:rPr>
        <w:t xml:space="preserve">, </w:t>
      </w:r>
      <w:r>
        <w:rPr>
          <w:rtl w:val="true"/>
        </w:rPr>
        <w:t>אני סבורה כי יש סיכון ממשי להישנות 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האמור לעיל אני גוזרת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שירוצו בדרך של עבודות שירות בשב</w:t>
      </w:r>
      <w:r>
        <w:rPr>
          <w:rtl w:val="true"/>
        </w:rPr>
        <w:t>"</w:t>
      </w:r>
      <w:r>
        <w:rPr>
          <w:rtl w:val="true"/>
        </w:rPr>
        <w:t>ס ניר ברמלה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 בשבוע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 עבודה יומיות</w:t>
      </w:r>
      <w:r>
        <w:rPr>
          <w:rtl w:val="true"/>
        </w:rPr>
        <w:t xml:space="preserve">. </w:t>
      </w:r>
      <w:r>
        <w:rPr>
          <w:rtl w:val="true"/>
        </w:rPr>
        <w:t>מפקח אחראי דיאנה בריטשנר</w:t>
      </w:r>
      <w:r>
        <w:rPr>
          <w:rtl w:val="true"/>
        </w:rPr>
        <w:t xml:space="preserve">. </w:t>
      </w:r>
      <w:r>
        <w:rPr>
          <w:rtl w:val="true"/>
        </w:rPr>
        <w:t xml:space="preserve">מאחר והמועד המומלץ חלף תאריך תחילת ריצוי מאסר בעבודות שרות </w:t>
      </w:r>
      <w:r>
        <w:rPr/>
        <w:t>15.10.2014</w:t>
      </w:r>
      <w:r>
        <w:rPr>
          <w:rtl w:val="true"/>
        </w:rPr>
        <w:t xml:space="preserve"> </w:t>
      </w:r>
      <w:r>
        <w:rPr>
          <w:rtl w:val="true"/>
        </w:rPr>
        <w:t xml:space="preserve">ועל הנאשם להתייצב במועד זה בשעה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בבוקר בפני הממונה במפקדת מחוז מרכז רמלה</w:t>
      </w:r>
      <w:r>
        <w:rPr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Arial" w:hAnsi="Arial" w:eastAsia="Calibri" w:cs="Arial"/>
          <w:sz w:val="22"/>
          <w:szCs w:val="22"/>
        </w:rPr>
      </w:pPr>
      <w:r>
        <w:rPr>
          <w:rFonts w:ascii="Arial" w:hAnsi="Arial" w:cs="Arial"/>
          <w:rtl w:val="true"/>
        </w:rPr>
        <w:t>מובהר לנאשם כי הפרה של תנאי עבודות שרות עלולה להביא להפקעתם ולריצוי העונש מאחורי סורג ובריח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Arial" w:hAnsi="Arial" w:eastAsia="Calibri" w:cs="Arial"/>
          <w:sz w:val="22"/>
          <w:szCs w:val="22"/>
        </w:rPr>
      </w:pPr>
      <w:r>
        <w:rPr>
          <w:rFonts w:eastAsia="Calibri" w:cs="Arial" w:ascii="Arial" w:hAnsi="Arial"/>
          <w:sz w:val="22"/>
          <w:szCs w:val="2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שלא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כל עבירת אלימות פיזית מסוג פשע</w:t>
      </w:r>
      <w:r>
        <w:rPr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שלא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 כל עבירת אלימות פיזית מסוג עוון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או עבירה 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441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tl w:val="true"/>
        </w:rPr>
        <w:t>המזכירות תעביר העתק לשירות המבחן ולממונה על עבודות שרות</w:t>
      </w:r>
      <w:r>
        <w:rPr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tl w:val="true"/>
        </w:rPr>
        <w:t xml:space="preserve">זכות ערעור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ניתן על ידי כבוד השופטת הבכירה נירה דסקין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שומע על ידי כבוד השופט הישאם אבו שחאדה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אלול 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/>
        <w:t>03/09/2014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הישאם אבו שחאדה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ככל שקיימת הפקדה בתיק </w:t>
      </w:r>
      <w:hyperlink r:id="rId17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ת </w:t>
        </w:r>
        <w:r>
          <w:rPr>
            <w:rStyle w:val="Hyperlink"/>
            <w:color w:val="0000FF"/>
            <w:u w:val="single"/>
          </w:rPr>
          <w:t>46397-03-13</w:t>
        </w:r>
      </w:hyperlink>
      <w:r>
        <w:rPr>
          <w:rtl w:val="true"/>
        </w:rPr>
        <w:t xml:space="preserve">, </w:t>
      </w:r>
      <w:r>
        <w:rPr>
          <w:rtl w:val="true"/>
        </w:rPr>
        <w:t>יש להחזירה לידי המפקיד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ככל שהסכום מופיע על שמו של הנאשם</w:t>
      </w:r>
      <w:r>
        <w:rPr>
          <w:rtl w:val="true"/>
        </w:rPr>
        <w:t xml:space="preserve">, </w:t>
      </w:r>
      <w:r>
        <w:rPr>
          <w:rtl w:val="true"/>
        </w:rPr>
        <w:t>הוא יוחזר לידיו</w:t>
      </w:r>
      <w:r>
        <w:rPr>
          <w:rtl w:val="true"/>
        </w:rPr>
        <w:t xml:space="preserve">, </w:t>
      </w:r>
      <w:r>
        <w:rPr>
          <w:rtl w:val="true"/>
        </w:rPr>
        <w:t>וככל שהוא רשום על שמו של אחר</w:t>
      </w:r>
      <w:r>
        <w:rPr>
          <w:rtl w:val="true"/>
        </w:rPr>
        <w:t xml:space="preserve">, </w:t>
      </w:r>
      <w:r>
        <w:rPr>
          <w:rtl w:val="true"/>
        </w:rPr>
        <w:t>הוא יוחזר לאחר</w:t>
      </w:r>
      <w:r>
        <w:rPr>
          <w:rtl w:val="true"/>
        </w:rPr>
        <w:t xml:space="preserve">.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>אם קיים עיקול או צו מימוש מטעם לשכת הוצל</w:t>
      </w:r>
      <w:r>
        <w:rPr>
          <w:rtl w:val="true"/>
        </w:rPr>
        <w:t>"</w:t>
      </w:r>
      <w:r>
        <w:rPr>
          <w:rtl w:val="true"/>
        </w:rPr>
        <w:t>פ כלשהי</w:t>
      </w:r>
      <w:r>
        <w:rPr>
          <w:rtl w:val="true"/>
        </w:rPr>
        <w:t xml:space="preserve">, </w:t>
      </w:r>
      <w:r>
        <w:rPr>
          <w:rtl w:val="true"/>
        </w:rPr>
        <w:t>אזי החלטת העיקול גוברת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ניתנה והודעה היום 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03/09/2014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הישאם אבו שחאדה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סיגל</w:t>
      </w:r>
      <w:r>
        <w:rPr>
          <w:rtl w:val="true"/>
        </w:rPr>
        <w:t xml:space="preserve"> </w:t>
      </w:r>
      <w:r>
        <w:rPr>
          <w:rtl w:val="true"/>
        </w:rPr>
        <w:t>שלמה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  <w:r>
        <w:rPr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46375-03-13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משטרת ישראל תביעות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שלוחת רמלה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בחית וחידי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CharChar">
    <w:name w:val=" Char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82.b" TargetMode="External"/><Relationship Id="rId4" Type="http://schemas.openxmlformats.org/officeDocument/2006/relationships/hyperlink" Target="http://www.nevo.co.il/law/70301/40jc.a" TargetMode="External"/><Relationship Id="rId5" Type="http://schemas.openxmlformats.org/officeDocument/2006/relationships/hyperlink" Target="http://www.nevo.co.il/law/70301/441" TargetMode="External"/><Relationship Id="rId6" Type="http://schemas.openxmlformats.org/officeDocument/2006/relationships/hyperlink" Target="http://www.nevo.co.il/law/70301/382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41" TargetMode="External"/><Relationship Id="rId9" Type="http://schemas.openxmlformats.org/officeDocument/2006/relationships/hyperlink" Target="http://www.nevo.co.il/case/5573417" TargetMode="External"/><Relationship Id="rId10" Type="http://schemas.openxmlformats.org/officeDocument/2006/relationships/hyperlink" Target="http://www.nevo.co.il/law/70301/40jc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6234659" TargetMode="External"/><Relationship Id="rId13" Type="http://schemas.openxmlformats.org/officeDocument/2006/relationships/hyperlink" Target="http://www.nevo.co.il/case/6234659" TargetMode="External"/><Relationship Id="rId14" Type="http://schemas.openxmlformats.org/officeDocument/2006/relationships/hyperlink" Target="http://www.nevo.co.il/case/6182538" TargetMode="External"/><Relationship Id="rId15" Type="http://schemas.openxmlformats.org/officeDocument/2006/relationships/hyperlink" Target="http://www.nevo.co.il/law/70301/44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6858589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2017-02-28T12:04:00Z</dcterms:created>
  <dc:creator> </dc:creator>
  <dc:description/>
  <cp:keywords/>
  <dc:language>en-IL</dc:language>
  <cp:lastModifiedBy>Tali-a</cp:lastModifiedBy>
  <dcterms:modified xsi:type="dcterms:W3CDTF">2017-02-28T12:04:00Z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תביעות- שלוחת רמלה</vt:lpwstr>
  </property>
  <property fmtid="{D5CDD505-2E9C-101B-9397-08002B2CF9AE}" pid="3" name="APPELLEE">
    <vt:lpwstr>בחית וחידי</vt:lpwstr>
  </property>
  <property fmtid="{D5CDD505-2E9C-101B-9397-08002B2CF9AE}" pid="4" name="CASESLISTTMP1">
    <vt:lpwstr>5573417;6234659:2;6182538;6858589</vt:lpwstr>
  </property>
  <property fmtid="{D5CDD505-2E9C-101B-9397-08002B2CF9AE}" pid="5" name="CITY">
    <vt:lpwstr>רמ'</vt:lpwstr>
  </property>
  <property fmtid="{D5CDD505-2E9C-101B-9397-08002B2CF9AE}" pid="6" name="DATE">
    <vt:lpwstr>20140903</vt:lpwstr>
  </property>
  <property fmtid="{D5CDD505-2E9C-101B-9397-08002B2CF9AE}" pid="7" name="ISABSTRACT">
    <vt:lpwstr>Y</vt:lpwstr>
  </property>
  <property fmtid="{D5CDD505-2E9C-101B-9397-08002B2CF9AE}" pid="8" name="JUDGE">
    <vt:lpwstr>הישאם אבו שחאדה</vt:lpwstr>
  </property>
  <property fmtid="{D5CDD505-2E9C-101B-9397-08002B2CF9AE}" pid="9" name="LAWLISTTMP1">
    <vt:lpwstr>70301/382.b;441:2;40jc.a</vt:lpwstr>
  </property>
  <property fmtid="{D5CDD505-2E9C-101B-9397-08002B2CF9AE}" pid="10" name="LAWYER">
    <vt:lpwstr>עמיחי רווה;אורן שפקמן</vt:lpwstr>
  </property>
  <property fmtid="{D5CDD505-2E9C-101B-9397-08002B2CF9AE}" pid="11" name="NEWPARTA">
    <vt:lpwstr>46375</vt:lpwstr>
  </property>
  <property fmtid="{D5CDD505-2E9C-101B-9397-08002B2CF9AE}" pid="12" name="NEWPARTB">
    <vt:lpwstr>03</vt:lpwstr>
  </property>
  <property fmtid="{D5CDD505-2E9C-101B-9397-08002B2CF9AE}" pid="13" name="NEWPARTC">
    <vt:lpwstr>13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380020140903</vt:lpwstr>
  </property>
  <property fmtid="{D5CDD505-2E9C-101B-9397-08002B2CF9AE}" pid="18" name="TYPE_N_DATE">
    <vt:lpwstr>38020140903</vt:lpwstr>
  </property>
  <property fmtid="{D5CDD505-2E9C-101B-9397-08002B2CF9AE}" pid="19" name="WORDNUMPAGES">
    <vt:lpwstr>7</vt:lpwstr>
  </property>
</Properties>
</file>