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465-09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סליאמה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אמנון 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רבחי סליאמה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עניינו הסתיים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סאמר קוואסמה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עלי עאלוש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עניינו הסתיים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אשרף עאלוש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עניינו הסתיים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לנאשם מס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 xml:space="preserve">הנאשם הורשע על פי הודאתו ובמסגרת הסדר טיעון בכתב אישום מתוקן בשתי עבירות של קשירת קשר לפשע בניגוד לסעיף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ובעבירה אחת של עסקה אחרת בנשק בניגוד לסעיף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tl w:val="true"/>
        </w:rPr>
        <w:t xml:space="preserve">,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מסמרים</w:t>
      </w:r>
      <w:r>
        <w:rPr>
          <w:rtl w:val="true"/>
        </w:rPr>
        <w:t xml:space="preserve">" </w:t>
      </w:r>
      <w:r>
        <w:rPr>
          <w:rtl w:val="true"/>
        </w:rPr>
        <w:t>כשהכוונה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, "</w:t>
      </w:r>
      <w:r>
        <w:rPr>
          <w:rtl w:val="true"/>
        </w:rPr>
        <w:t>צינורות</w:t>
      </w:r>
      <w:r>
        <w:rPr>
          <w:rtl w:val="true"/>
        </w:rPr>
        <w:t xml:space="preserve">" </w:t>
      </w:r>
      <w:r>
        <w:rPr>
          <w:rtl w:val="true"/>
        </w:rPr>
        <w:t>כשהכוונה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למטענים</w:t>
      </w:r>
      <w:r>
        <w:rPr>
          <w:rtl w:val="true"/>
        </w:rPr>
        <w:t>, "</w:t>
      </w:r>
      <w:r>
        <w:rPr>
          <w:rtl w:val="true"/>
        </w:rPr>
        <w:t>רכבים</w:t>
      </w:r>
      <w:r>
        <w:rPr>
          <w:rtl w:val="true"/>
        </w:rPr>
        <w:t xml:space="preserve">" </w:t>
      </w:r>
      <w:r>
        <w:rPr>
          <w:rtl w:val="true"/>
        </w:rPr>
        <w:t>כשהכוונה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הדומינטטית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25.8.2009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לוודי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וז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tl w:val="true"/>
        </w:rPr>
        <w:t xml:space="preserve">)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4,500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בגלאים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אינדוידואלית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3429/06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16.10.2007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tl w:val="true"/>
        </w:rPr>
        <w:t xml:space="preserve">,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3.11.2009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tl w:val="true"/>
        </w:rPr>
        <w:br/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סיון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54678313-465/09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/Users/liorb/Downloads/study2025-p2/ME-09-465-953.doc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רבחי סליאמה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5894847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2016-02-08T12:23:00Z</dcterms:created>
  <dc:creator> </dc:creator>
  <dc:description/>
  <cp:keywords/>
  <dc:language>en-IL</dc:language>
  <cp:lastModifiedBy>hofit</cp:lastModifiedBy>
  <dcterms:modified xsi:type="dcterms:W3CDTF">2016-02-08T12:23:00Z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רבחי סליאמה ;סאמר קוואסמה ;עלי עאלוש ;אשרף עאלוש</vt:lpwstr>
  </property>
  <property fmtid="{D5CDD505-2E9C-101B-9397-08002B2CF9AE}" pid="4" name="CASESLISTTMP1">
    <vt:lpwstr>5894847</vt:lpwstr>
  </property>
  <property fmtid="{D5CDD505-2E9C-101B-9397-08002B2CF9AE}" pid="5" name="CITY">
    <vt:lpwstr>י-ם</vt:lpwstr>
  </property>
  <property fmtid="{D5CDD505-2E9C-101B-9397-08002B2CF9AE}" pid="6" name="DATE">
    <vt:lpwstr>20100530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אמנון כהן</vt:lpwstr>
  </property>
  <property fmtid="{D5CDD505-2E9C-101B-9397-08002B2CF9AE}" pid="10" name="LAWLISTTMP1">
    <vt:lpwstr>70301:3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465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465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09 465 953 htm</vt:lpwstr>
  </property>
  <property fmtid="{D5CDD505-2E9C-101B-9397-08002B2CF9AE}" pid="36" name="TYPE">
    <vt:lpwstr>2</vt:lpwstr>
  </property>
  <property fmtid="{D5CDD505-2E9C-101B-9397-08002B2CF9AE}" pid="37" name="TYPE_ABS_DATE">
    <vt:lpwstr>390020100530</vt:lpwstr>
  </property>
  <property fmtid="{D5CDD505-2E9C-101B-9397-08002B2CF9AE}" pid="38" name="TYPE_N_DATE">
    <vt:lpwstr>39020100530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