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46526-07-10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זמירו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מתמחה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נדב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גבאי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מאמון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זמירו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6" w:name="ABSTRACT_END"/>
      <w:bookmarkEnd w:id="6"/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20/07/10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וזיגזאוור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tl w:val="true"/>
        </w:rPr>
        <w:t>-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tl w:val="true"/>
        </w:rPr>
        <w:t xml:space="preserve">",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שיסתיים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מדיניות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ואפילו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</w:t>
      </w:r>
      <w:r>
        <w:rPr>
          <w:rStyle w:val="normal-h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פואד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דחאל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מציאת</w:t>
      </w:r>
      <w:r>
        <w:rPr>
          <w:rtl w:val="true"/>
        </w:rPr>
        <w:t xml:space="preserve">"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tl w:val="true"/>
        </w:rPr>
        <w:t xml:space="preserve">"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, </w:t>
      </w:r>
      <w:r>
        <w:rPr>
          <w:rtl w:val="true"/>
        </w:rPr>
        <w:t>שלולא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20.7.10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27.7.10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567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/>
      </w:pP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12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סעיף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144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5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46526-07-10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מאמון זמירו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2718/04" TargetMode="External"/><Relationship Id="rId4" Type="http://schemas.openxmlformats.org/officeDocument/2006/relationships/hyperlink" Target="http://www.nevo.co.il/links/psika/?link=&#1506;&#1508;%205220/09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2012-07-01T08:21:00Z</dcterms:created>
  <dc:creator> </dc:creator>
  <dc:description/>
  <cp:keywords/>
  <dc:language>en-IL</dc:language>
  <cp:lastModifiedBy>orly</cp:lastModifiedBy>
  <dcterms:modified xsi:type="dcterms:W3CDTF">2012-07-01T11:49:00Z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מאמון זמירו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20120627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אלי לוי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46526</vt:lpwstr>
  </property>
  <property fmtid="{D5CDD505-2E9C-101B-9397-08002B2CF9AE}" pid="20" name="NEWPARTB">
    <vt:lpwstr>07</vt:lpwstr>
  </property>
  <property fmtid="{D5CDD505-2E9C-101B-9397-08002B2CF9AE}" pid="21" name="NEWPARTC">
    <vt:lpwstr>10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380020120627</vt:lpwstr>
  </property>
  <property fmtid="{D5CDD505-2E9C-101B-9397-08002B2CF9AE}" pid="32" name="TYPE_N_DATE">
    <vt:lpwstr>38020120627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