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9"/>
        <w:gridCol w:w="2832"/>
        <w:gridCol w:w="320"/>
        <w:gridCol w:w="336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46546-02-21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נמץ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gridSpan w:val="3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מרץ </w:t>
            </w:r>
            <w:r>
              <w:rPr>
                <w:rFonts w:cs="David" w:ascii="David" w:hAnsi="David"/>
                <w:b/>
                <w:bCs/>
              </w:rPr>
              <w:t>2023</w:t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לפני כבוד השופט בני שגיא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29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6521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סולי לביא</w:t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2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15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36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2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652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29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ם</w:t>
            </w:r>
          </w:p>
        </w:tc>
        <w:tc>
          <w:tcPr>
            <w:tcW w:w="315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אלכסנדר נמץ 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</w:p>
        </w:tc>
        <w:tc>
          <w:tcPr>
            <w:tcW w:w="336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240" w:after="240"/>
        <w:ind w:firstLine="357" w:start="357" w:end="0"/>
        <w:jc w:val="both"/>
        <w:rPr>
          <w:u w:val="single"/>
        </w:rPr>
      </w:pPr>
      <w:r>
        <w:rPr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/>
      </w:pPr>
      <w:bookmarkStart w:id="9" w:name="ABSTRACT_END"/>
      <w:bookmarkEnd w:id="9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11.2.21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22:47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מבילוי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והאקדח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שיבא</w:t>
      </w:r>
      <w:r>
        <w:rPr>
          <w:rtl w:val="true"/>
        </w:rPr>
        <w:t>".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השבעה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תואר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השבעה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tl w:val="true"/>
        </w:rPr>
        <w:t xml:space="preserve">.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לאוקראינה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מחודשת</w:t>
      </w:r>
      <w:r>
        <w:rPr>
          <w:rtl w:val="true"/>
        </w:rPr>
        <w:t xml:space="preserve">"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באוקראינה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המסעדנות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כסניטר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שיבא</w:t>
      </w:r>
      <w:r>
        <w:rPr>
          <w:rtl w:val="true"/>
        </w:rPr>
        <w:t xml:space="preserve">",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מסיכומי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אינהלציה</w:t>
      </w:r>
      <w:r>
        <w:rPr>
          <w:rtl w:val="true"/>
        </w:rPr>
        <w:t xml:space="preserve">; </w:t>
      </w:r>
      <w:r>
        <w:rPr>
          <w:rtl w:val="true"/>
        </w:rPr>
        <w:t>מנימולים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; </w:t>
      </w:r>
      <w:r>
        <w:rPr>
          <w:rtl w:val="true"/>
        </w:rPr>
        <w:t>ומכאב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לרעשים</w:t>
      </w:r>
      <w:r>
        <w:rPr>
          <w:rtl w:val="true"/>
        </w:rPr>
        <w:t xml:space="preserve">,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tl w:val="true"/>
        </w:rPr>
        <w:t xml:space="preserve">, </w:t>
      </w:r>
      <w:r>
        <w:rPr>
          <w:rtl w:val="true"/>
        </w:rPr>
        <w:t>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והשפעותיה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>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וכברת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הטיפולית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/>
      </w:pP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ובמועד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לרוסיה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הזקונים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אונקולוגית</w:t>
      </w:r>
      <w:r>
        <w:rPr>
          <w:rtl w:val="true"/>
        </w:rPr>
        <w:t xml:space="preserve">, </w:t>
      </w:r>
      <w:r>
        <w:rPr>
          <w:rtl w:val="true"/>
        </w:rPr>
        <w:t>ומטופלת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80%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שריון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hanging="6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24.4.22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ומאופיין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לבסוף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ובהתנהגותו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240" w:after="240"/>
        <w:ind w:hanging="6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tl w:val="true"/>
        </w:rPr>
        <w:t xml:space="preserve">, </w:t>
      </w:r>
      <w:r>
        <w:rPr>
          <w:rtl w:val="true"/>
        </w:rPr>
        <w:t>לאיחוי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15.1.23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בפגישות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התמיד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פסיכולוגי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פרטני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וקבוצתי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כנמוכה</w:t>
      </w:r>
      <w:r>
        <w:rPr>
          <w:rtl w:val="true"/>
        </w:rPr>
        <w:t xml:space="preserve">, </w:t>
      </w:r>
      <w:r>
        <w:rPr>
          <w:rtl w:val="true"/>
        </w:rPr>
        <w:t>וה</w:t>
      </w:r>
      <w:r>
        <w:rPr>
          <w:rtl w:val="true"/>
        </w:rPr>
        <w:t>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firstLine="357" w:start="357" w:end="0"/>
        <w:jc w:val="both"/>
        <w:rPr/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לביא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tl w:val="true"/>
        </w:rPr>
        <w:t xml:space="preserve">,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והמלצותיו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),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;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60,000</w:t>
      </w:r>
      <w:r>
        <w:rPr>
          <w:rtl w:val="true"/>
        </w:rPr>
        <w:t xml:space="preserve"> ₪.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ובעימות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</w:t>
      </w:r>
      <w:r>
        <w:rPr>
          <w:rtl w:val="true"/>
        </w:rPr>
        <w:t>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וולונטריים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רייניך</w:t>
      </w:r>
      <w:r>
        <w:rPr>
          <w:rtl w:val="true"/>
        </w:rPr>
        <w:t xml:space="preserve">,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מאוחדת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",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יסודי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 xml:space="preserve">.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יושרה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וחריצות</w:t>
      </w:r>
      <w:r>
        <w:rPr>
          <w:rtl w:val="true"/>
        </w:rPr>
        <w:t xml:space="preserve">.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,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תוצאותיהם</w:t>
      </w:r>
      <w:r>
        <w:rPr>
          <w:rtl w:val="true"/>
        </w:rPr>
        <w:t xml:space="preserve">.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ביומיום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>: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חורבן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וגיסי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ברעד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לילדים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פזיזה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ושגויה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שחונכתי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והאחים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שהפסיכולוג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פסיכולוג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לפסיכולוג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ויצרתי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פסיכולוג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אילן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משתתפים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כרובוט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והזוועתי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הפסיכולוג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ייהרסו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גיסי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האחיין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בשבילם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22-4</w:t>
      </w:r>
      <w:r>
        <w:rPr>
          <w:rtl w:val="true"/>
        </w:rPr>
        <w:t>).</w:t>
      </w:r>
    </w:p>
    <w:p>
      <w:pPr>
        <w:pStyle w:val="Normal"/>
        <w:spacing w:lineRule="auto" w:line="360" w:before="240" w:after="240"/>
        <w:ind w:firstLine="357" w:start="35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  <w:t>קביעת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מתחם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העונש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>
          <w:color w:val="000000"/>
        </w:rPr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David" w:hAnsi="David"/>
          <w:color w:val="000000"/>
          <w:shd w:fill="FFFFFF" w:val="clear"/>
          <w:rtl w:val="true"/>
        </w:rPr>
        <w:t xml:space="preserve"> מגלמת פגיעה בערכים חברתיים בסיסיים של הזכות לחיים ולשלמות הגוף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וכן בערך הביטחון האישי והביטחון הציבורי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בשורה ארוכה של פסקי דין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עמד בית המשפט העליון על חומרתן היתרה של עבירות האלימות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על כלל </w:t>
      </w:r>
      <w:r>
        <w:rPr>
          <w:rtl w:val="true"/>
        </w:rPr>
        <w:t>גווניה</w:t>
      </w:r>
      <w:r>
        <w:rPr>
          <w:rFonts w:ascii="David" w:hAnsi="David"/>
          <w:color w:val="000000"/>
          <w:shd w:fill="FFFFFF" w:val="clear"/>
          <w:rtl w:val="true"/>
        </w:rPr>
        <w:t xml:space="preserve"> וצורותיה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היתר אלה בהן הורשע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נוכח פוטנציאל הנזק הרב הטמון בהן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שכיחות ביצוען ותפקידו הקריטי של בית המשפט במיגור האלימות מן החברה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למשל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8900/21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14.8.2022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30.7.2020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>בקביעת מתחם הענישה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ראיתי ליתן 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240" w:after="240"/>
        <w:ind w:hanging="363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א</w:t>
      </w:r>
      <w:r>
        <w:rPr>
          <w:rFonts w:cs="David" w:ascii="David" w:hAnsi="David"/>
          <w:b/>
          <w:bCs/>
          <w:color w:val="000000"/>
          <w:rtl w:val="true"/>
        </w:rPr>
        <w:t>)</w:t>
        <w:tab/>
      </w:r>
      <w:r>
        <w:rPr>
          <w:rFonts w:ascii="David" w:hAnsi="David"/>
          <w:b/>
          <w:b/>
          <w:bCs/>
          <w:color w:val="000000"/>
          <w:rtl w:val="true"/>
        </w:rPr>
        <w:t xml:space="preserve">ספונטניות האירוע – </w:t>
      </w:r>
      <w:r>
        <w:rPr>
          <w:rFonts w:ascii="David" w:hAnsi="David"/>
          <w:color w:val="000000"/>
          <w:rtl w:val="true"/>
        </w:rPr>
        <w:t>בניגוד לחלק לא מבוטל מאירועי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בוודאי אלה המבוצעים על ידי חבורות עברייניות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האיר</w:t>
      </w:r>
      <w:r>
        <w:rPr>
          <w:rFonts w:ascii="David" w:hAnsi="David"/>
          <w:color w:val="000000"/>
          <w:rtl w:val="true"/>
        </w:rPr>
        <w:t xml:space="preserve">וע בענייננו הוא </w:t>
      </w:r>
      <w:r>
        <w:rPr>
          <w:rFonts w:ascii="David" w:hAnsi="David"/>
          <w:color w:val="000000"/>
          <w:rtl w:val="true"/>
        </w:rPr>
        <w:t xml:space="preserve">אירוע ספונטני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מתגלגל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באופן מובהק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הפער בין אירוע מתוכנן ומוקפד לבין אירוע ספונטני צריך לקבל ביטוי במתחם הענישה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363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האופן בו התפתח 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אף שאני נכון לאמץ באופן מלא את עמדת התובע בדבר חוסר הפרופורציה של תגובת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משקל מסוים בקביעת המתחם לעובדה שהמתלונן הוא זה שיזם את המגע הפיזי הראשוני בין השניים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363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שימוש בנשק 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 xml:space="preserve">לשון החוק מלמדת כי העבירה יכולה להתגבש על ידי פגיעה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קליע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בסכין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באבן או בנשק מסוכן או פוגעני אחר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 xml:space="preserve">השימוש בנשק חם ככלי לפתרון סכסוכים הפך </w:t>
      </w:r>
      <w:r>
        <w:rPr>
          <w:rFonts w:ascii="David" w:hAnsi="David"/>
          <w:color w:val="000000"/>
          <w:rtl w:val="true"/>
        </w:rPr>
        <w:t>לשכיח ו</w:t>
      </w:r>
      <w:r>
        <w:rPr>
          <w:rFonts w:ascii="David" w:hAnsi="David"/>
          <w:color w:val="000000"/>
          <w:rtl w:val="true"/>
        </w:rPr>
        <w:t>יש לראות בו כנסיבה מחמירה שיש בה כדי להביא להחמרה 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ראו </w:t>
      </w:r>
      <w:r>
        <w:rPr>
          <w:rFonts w:ascii="David" w:hAnsi="David"/>
          <w:color w:val="000000"/>
          <w:rtl w:val="true"/>
        </w:rPr>
        <w:t>לדוגמא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562/22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יחיא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26.12.2022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1275/22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30.11.2022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פקיה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19.12.2021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5.11.2019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נתון רלוונטי נוסף בהקשר זה נעוץ בכך שהנאשם נ</w:t>
      </w:r>
      <w:r>
        <w:rPr>
          <w:rFonts w:ascii="David" w:hAnsi="David"/>
          <w:color w:val="000000"/>
          <w:rtl w:val="true"/>
        </w:rPr>
        <w:t xml:space="preserve">שא </w:t>
      </w:r>
      <w:r>
        <w:rPr>
          <w:rFonts w:ascii="David" w:hAnsi="David"/>
          <w:color w:val="000000"/>
          <w:rtl w:val="true"/>
        </w:rPr>
        <w:t xml:space="preserve">את האקדח </w:t>
      </w:r>
      <w:r>
        <w:rPr>
          <w:rFonts w:ascii="David" w:hAnsi="David"/>
          <w:color w:val="000000"/>
          <w:rtl w:val="true"/>
        </w:rPr>
        <w:t>ברישיון ובאופן חוקי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בתוקף תפקידו כמאבטח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הגם שאין בכך כדי להפחית מחומרת מעשיו ותוצאותיהם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240" w:after="240"/>
        <w:ind w:hanging="363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ד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אופי הירי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ירה שתי יריות מטווח קצר </w:t>
      </w:r>
      <w:r>
        <w:rPr>
          <w:rFonts w:ascii="David" w:hAnsi="David"/>
          <w:color w:val="000000"/>
          <w:rtl w:val="true"/>
        </w:rPr>
        <w:t>לעבר פלג גופו העליון של 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 שרכיב זה הוא החמור ביותר בנסיבות המקרה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אך בנס לא קופדו חייו של המתלונן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363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ה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חומרת הנזק</w:t>
      </w:r>
      <w:r>
        <w:rPr>
          <w:rFonts w:ascii="David" w:hAnsi="David"/>
          <w:b/>
          <w:b/>
          <w:bCs/>
          <w:color w:val="000000"/>
          <w:rtl w:val="true"/>
        </w:rPr>
        <w:t xml:space="preserve"> למתלונן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מעשיו של הנאשם גרמו למתלונן נגרם ל</w:t>
      </w:r>
      <w:r>
        <w:rPr>
          <w:rFonts w:ascii="David" w:hAnsi="David"/>
          <w:color w:val="000000"/>
          <w:rtl w:val="true"/>
        </w:rPr>
        <w:t>נזק פיזי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כלכלי ונפשי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כעולה מתסקיר נפגע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ועוד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מעשיו של הנאשם גרמו לנזק עקיף לבת זוגו ולילדיו של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התלויים בו מבחינה כלכלית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אלה באו לידי ביטוי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 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 נזק זו יש לשקלל במסגרת 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363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ab/>
      </w:r>
      <w:r>
        <w:rPr>
          <w:rFonts w:ascii="David" w:hAnsi="David"/>
          <w:b/>
          <w:b/>
          <w:bCs/>
          <w:color w:val="000000"/>
          <w:rtl w:val="true"/>
        </w:rPr>
        <w:t>התנהלות הנאשם לאחר הירי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הלכה למעשה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התנהלותו של הנאשם מיד לאחר הירי חריגה בנוף ביחס לרובם המוחלט של תיקי האלימות המגיעים לפתחו של בית המשפט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אעמוד על כך גם בהמשך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אך אציין כבר כאן כי כל פסקי הדין המשקפים את מדיניות הענישה הנוהגת ביחס לעבירה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אינם כוללים רכיב ייחודי מעין זה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240" w:after="240"/>
        <w:ind w:hanging="6" w:start="720" w:end="0"/>
        <w:jc w:val="both"/>
        <w:rPr>
          <w:rFonts w:ascii="David" w:hAnsi="David" w:cs="David"/>
          <w:b/>
          <w:bCs/>
          <w:color w:val="000000"/>
        </w:rPr>
      </w:pP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להקטנת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ייחודית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>
          <w:color w:val="000000"/>
        </w:rPr>
      </w:pPr>
      <w:r>
        <w:rPr>
          <w:rtl w:val="true"/>
        </w:rPr>
        <w:t>מהמאפיינים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שנסקרו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הייחודיות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57" w:start="714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אסקור עתה פסקי דין רלוונטיים המשקפים את מדיניות הענישה הנוהגת</w:t>
      </w:r>
      <w:r>
        <w:rPr>
          <w:rFonts w:ascii="David" w:hAnsi="David"/>
          <w:color w:val="000000"/>
          <w:rtl w:val="true"/>
        </w:rPr>
        <w:t xml:space="preserve"> ביחס לעבירה כמו זו שביצע הנאשם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ואעמוד על הדמיון והשוני בין כל מקרה ומקרה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Fonts w:ascii="David" w:hAnsi="David"/>
          <w:rtl w:val="true"/>
        </w:rPr>
        <w:t>מעבר לעובדה שבמקרה זה הורשע הנאשם בעבירות אלימות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נראה כי </w:t>
      </w:r>
      <w:r>
        <w:rPr>
          <w:rFonts w:ascii="David" w:hAnsi="David"/>
          <w:rtl w:val="true"/>
        </w:rPr>
        <w:t xml:space="preserve">מקרה זה חמור </w:t>
      </w:r>
      <w:r>
        <w:rPr>
          <w:rFonts w:ascii="David" w:hAnsi="David"/>
          <w:rtl w:val="true"/>
        </w:rPr>
        <w:t xml:space="preserve">משמעותית </w:t>
      </w:r>
      <w:r>
        <w:rPr>
          <w:rFonts w:ascii="David" w:hAnsi="David"/>
          <w:rtl w:val="true"/>
        </w:rPr>
        <w:t>מענייננ</w:t>
      </w:r>
      <w:r>
        <w:rPr>
          <w:rFonts w:ascii="David" w:hAnsi="David"/>
          <w:rtl w:val="true"/>
        </w:rPr>
        <w:t>ו נוכח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 הירי היה מתוכנן כאשר הנאשם ואחרים הגיעו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חמושים מבעוד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בציפייה להיתקל במתלוננים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 בוצע מרוס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</w:rPr>
        <w:t xml:space="preserve">; </w:t>
      </w:r>
      <w:r>
        <w:rPr>
          <w:rFonts w:cs="David" w:ascii="David" w:hAnsi="David"/>
          <w:b/>
          <w:bCs/>
        </w:rPr>
        <w:t>(3)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 לא הוחזק ברישיון ולא נתפס מעולם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לירי היו שני קורבנות שונים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הירי נעשתה פגיעה נוספת באמצעות רכב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 שנגרם לקורבנות במקרה זה חמור יותר מענייננו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אחד מהם נזקק לניתוח חירום בבטנו ולשיקום ארוך בבית לוינשטיין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במקרה זה לא מתקיים הרכיב הייחודי של סיוע וטיפול רפואי בקורבן שכן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נמלט</w:t>
      </w:r>
      <w:r>
        <w:rPr>
          <w:rFonts w:ascii="David" w:hAnsi="David"/>
          <w:rtl w:val="true"/>
        </w:rPr>
        <w:t xml:space="preserve"> מהזירה לאחר הירי והותיר את הנפגעים להתבוסס בדמם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:"...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כדבעי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במקצת</w:t>
      </w:r>
      <w:r>
        <w:rPr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כי מקרה זה משקף ירי ותוצאה פחותים בחומרתם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שדומני כי ירי מבעד לחלון רכב הוא פחות מדויק ועשוי אף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להביא לפגיעות קטלניות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קיימות נסיבות חמורות מענייננו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 נקמה שהוא</w:t>
      </w:r>
      <w:r>
        <w:rPr>
          <w:rFonts w:ascii="David" w:hAnsi="David"/>
          <w:u w:val="single"/>
          <w:rtl w:val="true"/>
        </w:rPr>
        <w:t xml:space="preserve"> פרי תכנון מוקדם ומעקב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היעדר עימות מוקדם בין הנאשם לבין המתלונן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גם 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הנשק נישא שלא ברישיון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זה לא מתקיים הרכיב הייחודי של סיוע וטיפול רפואי בקורבן שכן הנאשם נמלט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2.6.2022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גם מקרה זה לטעמי </w:t>
      </w:r>
      <w:r>
        <w:rPr>
          <w:rFonts w:ascii="David" w:hAnsi="David"/>
          <w:rtl w:val="true"/>
        </w:rPr>
        <w:t>חמור מענייננ</w:t>
      </w:r>
      <w:r>
        <w:rPr>
          <w:rFonts w:ascii="David" w:hAnsi="David"/>
          <w:rtl w:val="true"/>
        </w:rPr>
        <w:t>ו על יסוד הטעמים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פרק הזמן שחלף בין העימות הפיזי לבין הצטיידות הנאשם בנשק והירי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מפחית מממד הספונטניות שבאירוע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בהשוואה לענייננו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 לא הוחזק ברישיון והנאשם הורשע בעבירות נשק נלוות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יריות הנאשם פגעו במתלונן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 שנגרם ל</w:t>
      </w:r>
      <w:r>
        <w:rPr>
          <w:rFonts w:ascii="David" w:hAnsi="David"/>
          <w:rtl w:val="true"/>
        </w:rPr>
        <w:t>מתלונן</w:t>
      </w:r>
      <w:r>
        <w:rPr>
          <w:rFonts w:ascii="David" w:hAnsi="David"/>
          <w:rtl w:val="true"/>
        </w:rPr>
        <w:t xml:space="preserve"> במקרה זה חמור יותר מענייננו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זה לא מתקיים הרכיב הייחודי שבענייננו ביחס להתנהלות הנאשם לאחר הירי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15.12.2021</w:t>
      </w:r>
      <w:r>
        <w:rPr>
          <w:rtl w:val="true"/>
        </w:rPr>
        <w:t xml:space="preserve">) - </w:t>
      </w:r>
      <w:r>
        <w:rPr>
          <w:rtl w:val="true"/>
        </w:rPr>
        <w:t>ה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מספר נתונים מבחינים בין מקרה זה לענייננו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 במקרה זה פרי תכנון מוקדם על רקע סכסוך אלים בין שתי כנופיות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ריבוי יורים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יריות גבוה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שכוונו לפלג הגוף התחתון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רובן לא פגעו במתלונן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 חמור פחות נגרם למתלונן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 לא הוחזק ברישיון והנאשמים הורשעו בעבירות נשק נלוות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זה לא מתקיים הרכיב הייחודי של סיוע וטיפול רפואי בקורבן שכן הנאשמים נמלטו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7473/20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הליך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שלא כדין וירי מנשק חם באזור מגורים באופן שיש בו כדי לסכן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רקע עימות פיזי שהתפתח בין אחיו של הנאשם לבין המתלונן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בעקבות סכסוך על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כמה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</w:t>
      </w:r>
      <w:r>
        <w:rPr>
          <w:rFonts w:ascii="David" w:hAnsi="David"/>
          <w:rtl w:val="true"/>
        </w:rPr>
        <w:t xml:space="preserve">למקום </w:t>
      </w:r>
      <w:r>
        <w:rPr>
          <w:rFonts w:ascii="David" w:hAnsi="David"/>
          <w:rtl w:val="true"/>
        </w:rPr>
        <w:t>יחד עם אחיו ואחרים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פגש את המתלונן שהגיע גם הוא עם בן דודו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המפגש התיז אחיו של הנאשם גז פלפל על המתלונן והחלה קטטה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אז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התקרב הנאשם למתלונן ולבן דודו וירה באקדח מספר יריות באוויר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מיד לאחר מכן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כיוון את האקדח לעבר ראשו של בן דודו של המתלונן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צעק לעבר הנאשם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תיזהר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בתגובה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כיוון הנאשם את אקדחו לכיוון צווארו של המתלונן וירה בו ירייה אחת מטווח קצר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פגעה בצווארו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הנאשם וחבורתו נמלטו מן הזירה בעוד המתלונן נותר מתבוסס בדמו</w:t>
      </w:r>
      <w:r>
        <w:rPr>
          <w:rFonts w:cs="David" w:ascii="David" w:hAnsi="David"/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חדר כדור לצווארו של המתלונן ויצא מהחזה האחורי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אושפז כשהוא מורדם ומונשם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 נגרמו לו נזקים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פצעי ירי בצוואר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בריאה ובבית החזה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 לשורשי שתי חוליות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חולשה בידו והגבלת תנועה בכתף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הומלץ על המשך שיקום נוירולוגי וצווארון קשיח למשך שלושה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עונש של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קולת העונש התקבל בבית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שעונשו של הנאשם </w:t>
      </w:r>
      <w:r>
        <w:rPr>
          <w:rFonts w:ascii="David" w:hAnsi="David"/>
          <w:b/>
          <w:b/>
          <w:bCs/>
          <w:rtl w:val="true"/>
        </w:rPr>
        <w:t>הוחמר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לריצוי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בדומה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משקף ירי בוצע על רקע סכסוך על עניין של מה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אף שלירי קדמה </w:t>
      </w:r>
      <w:r>
        <w:rPr>
          <w:rFonts w:ascii="David" w:hAnsi="David"/>
          <w:rtl w:val="true"/>
        </w:rPr>
        <w:t>אלימות הדדית מובהקת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 הפציעות שנגרמו לקורבן נראית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מקרה זה חמור</w:t>
      </w:r>
      <w:r>
        <w:rPr>
          <w:rFonts w:ascii="David" w:hAnsi="David"/>
          <w:rtl w:val="true"/>
        </w:rPr>
        <w:t xml:space="preserve"> מענייננו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לא היה קשור לסכסוך הראשוני שהוביל לירי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 הוא פרי תכנון מוקדם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הגיע למקום יחד עם אנשים נוספים בכוונה להתעמת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נשא את נשקו שלא כדין והנשק לא נתפס מעולם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כך הורשע גם בעבירות נשק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נמלט</w:t>
      </w:r>
      <w:r>
        <w:rPr>
          <w:rFonts w:ascii="David" w:hAnsi="David"/>
          <w:rtl w:val="true"/>
        </w:rPr>
        <w:t xml:space="preserve"> מהזירה </w:t>
      </w:r>
      <w:r>
        <w:rPr>
          <w:rFonts w:ascii="David" w:hAnsi="David"/>
          <w:rtl w:val="true"/>
        </w:rPr>
        <w:t>בעוד המתלונן מתבוסס בדמו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שסוגיה זו לא קשורה למתחם אלא רק לעונש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גם לעובדה שבמקרה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לקח אחריות ולא 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הליך הוכחות ארוך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9104/20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4.3.2021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7597-05-20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19.10.2021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60" w:start="714" w:end="0"/>
        <w:jc w:val="both"/>
        <w:rPr/>
      </w:pP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קיים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רחב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ומגוון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205/19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ולדיסלב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7.6.2020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חומרתה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הרבה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החבלה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בכוונה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מחמירה</w:t>
      </w:r>
      <w:r>
        <w:rPr>
          <w:b/>
          <w:bCs/>
          <w:color w:val="000000"/>
          <w:rtl w:val="true"/>
        </w:rPr>
        <w:t xml:space="preserve">... </w:t>
      </w:r>
      <w:r>
        <w:rPr>
          <w:b/>
          <w:b/>
          <w:bCs/>
          <w:color w:val="000000"/>
          <w:rtl w:val="true"/>
        </w:rPr>
        <w:t>ופגיעתה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המוגנים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וביטחונו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המחוקק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לקבוע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ממושך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בחומרתו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לעבירת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הרצח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מובן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המנעד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הרחב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האפשריות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ונסיבותיו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האישיות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במקרים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השונים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קיימת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קשת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רחבה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שנקבעו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b/>
          <w:bCs/>
          <w:color w:val="000000"/>
          <w:rtl w:val="true"/>
        </w:rPr>
        <w:t>...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tl w:val="true"/>
        </w:rPr>
        <w:t xml:space="preserve">,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הדיסוננס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הירתמותו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לייחודי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התחשבות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u w:val="single"/>
          <w:rtl w:val="true"/>
        </w:rPr>
        <w:t xml:space="preserve">) 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60" w:start="714" w:end="0"/>
        <w:jc w:val="both"/>
        <w:rPr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>לצורך קביעת העונש המתאים לנאשם בגדרי מתחם הענישה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הבאתי בחשבון את מאפייניו האישיים של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היתר כפי שבאו לידי ביטוי בתסקיר שירות המבחן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b/>
          <w:b/>
          <w:bCs/>
          <w:color w:val="000000"/>
          <w:rtl w:val="true"/>
        </w:rPr>
        <w:t>ראשית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גילו הצעיר של הנאשם בעת ביצוע העבירה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25</w:t>
      </w:r>
      <w:r>
        <w:rPr>
          <w:rFonts w:cs="David" w:ascii="David" w:hAnsi="David"/>
          <w:color w:val="000000"/>
          <w:shd w:fill="FFFFFF" w:val="clear"/>
          <w:rtl w:val="true"/>
        </w:rPr>
        <w:t>).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שנית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מדובר בנאשם אשר הודה במיוחס לו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קיבל אחריות מלאה על מעשיו והביע חרטה עליהם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ניתן להוסיף לכך גם את העובדה כי הנאשם ראה לנכון להפקיד פיצוי כספי מראש לטובת נפגע העבירה על סך </w:t>
      </w:r>
      <w:r>
        <w:rPr>
          <w:rFonts w:cs="David" w:ascii="David" w:hAnsi="David"/>
          <w:b/>
          <w:bCs/>
          <w:color w:val="000000"/>
          <w:shd w:fill="FFFFFF" w:val="clear"/>
        </w:rPr>
        <w:t>13,000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מבלי שנדרש לעשות כן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כלל ידוע הוא כי בהודאת נאשמים טמון רכיב אינהרנטי של הפנמת הפסול במעשה העברייני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באופן שמצדיק התחשבות מסוימת בקביעת העונש בגדרי מתחם הענישה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זאת ועוד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הודאת נאשמים בביצוע עבירות בשלב מוקדם של ההליך משליכה על המשאבים הציבוריים הנדרשים לבירור הטענות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ויש בה כדי לחסוך זמן ציבורי ניכר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שלישית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היעדר </w:t>
      </w:r>
      <w:r>
        <w:rPr>
          <w:rFonts w:ascii="David" w:hAnsi="David"/>
          <w:color w:val="000000"/>
          <w:shd w:fill="FFFFFF" w:val="clear"/>
          <w:rtl w:val="true"/>
        </w:rPr>
        <w:t>הרשעות קודמות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העובדה כי מדובר בנאשם נורמטיבי שזו לו הסתבכותו הראשונה עם החוק מצדיקה התחשבות בגדרו של המתחם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רביעית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המורכבות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מטיעוני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סנגורו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דווקא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מיכולתו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ותקין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להתגייס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כלוחם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מובחרת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במילואים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וקוצר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ממעסיקו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הנוכחי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לתפקיד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המסקנה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המתחייבת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משקלול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הנתונים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המפורטים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לעיל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התייחסות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השיקום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לקבוע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אימוץ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התחתון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ולהטיל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  <w:t>משקלו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של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הליך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השיקום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ופוטנציאל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השיקום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60" w:start="714" w:end="0"/>
        <w:jc w:val="both"/>
        <w:rPr>
          <w:color w:val="000000"/>
        </w:rPr>
      </w:pP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השתקם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סיכוי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שישתקם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אינדיבידואלית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ועליה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מותאמת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לחומרת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להרתיע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מפני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ביצועם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להתחשב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השיקום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המסוים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אשמו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5363/15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11.05.2016</w:t>
      </w:r>
      <w:r>
        <w:rPr>
          <w:color w:val="000000"/>
          <w:rtl w:val="true"/>
        </w:rPr>
        <w:t>)).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פרטני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ברשימת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קבוצתי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במקביל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פרטני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וקבוצתי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לתיקון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דפוסי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וחשיבה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בעייתיים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לקיומם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במבט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לדוגמא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שכוללים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קבוצתית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אינטנסיבית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שילוב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סגורה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יחד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בחינה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נוספת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הנתונים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מלמדת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קיומו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סיכוי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להשתקם</w:t>
      </w:r>
      <w:r>
        <w:rPr>
          <w:b/>
          <w:bCs/>
          <w:color w:val="000000"/>
          <w:rtl w:val="true"/>
        </w:rPr>
        <w:t xml:space="preserve">" </w:t>
      </w:r>
      <w:r>
        <w:rPr>
          <w:b/>
          <w:b/>
          <w:bCs/>
          <w:color w:val="000000"/>
          <w:rtl w:val="true"/>
        </w:rPr>
        <w:t>כלשון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הוראת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40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).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color w:val="000000"/>
          <w:rtl w:val="true"/>
        </w:rPr>
        <w:t>נצעד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המסקנה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משתקפת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בהתנהלות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בהתנהלות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העמוקה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בהתנהלות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רגילה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ולנסות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מעייניו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העניק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והזעיק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בהבנה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להסתבך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כנסיבה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כתחנה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וכבסיס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וכאינדיקציה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להפקדת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13,000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הפיצוי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השנייה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הפרטניות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אמנם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אימוץ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להתרשמותו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ולהמלצתו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השלישית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וצרכיו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b/>
          <w:b/>
          <w:bCs/>
          <w:color w:val="000000"/>
          <w:rtl w:val="true"/>
        </w:rPr>
        <w:t>התחנה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הרביעית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תפקודו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ממעצרו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ליכולתו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תעסוקתי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לתפקיד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ניהולי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אינדיקציה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לסיכויי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משופרים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לאסופת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המכתבים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>/</w:t>
      </w:r>
      <w:r>
        <w:rPr>
          <w:b/>
          <w:bCs/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התרשמותם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העמוקה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מעסיקיו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מאיכויותיו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ואישיותו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b/>
          <w:bCs/>
          <w:color w:val="000000"/>
          <w:rtl w:val="true"/>
        </w:rPr>
        <w:tab/>
      </w:r>
      <w:r>
        <w:rPr>
          <w:b/>
          <w:b/>
          <w:bCs/>
          <w:color w:val="000000"/>
          <w:rtl w:val="true"/>
        </w:rPr>
        <w:t>התחנה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החמישית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קשורה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למעטפת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האיכותית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התומכים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במעטפת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המלווה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תהליך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ולהתקדם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המסקנה העולה מהמקובץ היא כי לצד מתן ביטוי לעקרון ההלימה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שהוא חלק מהאינטרס הציבורי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קיים גם היבט חשוב נוסף שאף הוא חלק מהאינטרס הציבורי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היכולת להחזיר נאשמים למוטב ולניהול אורח חיים יצרני ונורמטיבי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>מתן משקל לסיכויי השיקום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בנסיבות המקרה שבפניי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מצדיק סטייה מסוימת ממתחם העונש ההולם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גם אם לטעמי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357" w:start="35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60" w:start="714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57" w:start="714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11.2.2021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25.3.2021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4.6.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57" w:start="714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57" w:start="714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57" w:start="714" w:end="0"/>
        <w:jc w:val="both"/>
        <w:rPr/>
      </w:pPr>
      <w:r>
        <w:rPr>
          <w:rFonts w:ascii="David" w:hAnsi="David"/>
          <w:rtl w:val="true"/>
        </w:rPr>
        <w:t xml:space="preserve">פיצוי למתלונן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סך </w:t>
      </w:r>
      <w:r>
        <w:rPr>
          <w:rFonts w:cs="David" w:ascii="David" w:hAnsi="David"/>
        </w:rPr>
        <w:t>40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סך של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שהופקדו מבעוד מועד יועברו למתלונן בהתאם לפרטים שיימסרו למזכירות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והיתרה תשולם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1.1.24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לסיום התשלומים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ישולם אחד התשלומים 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תעמוד יתרת הפיצוי לפירעון 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rFonts w:ascii="David" w:hAnsi="David"/>
          <w:rtl w:val="true"/>
        </w:rPr>
        <w:t>התביעה תדאג לעדכן את המתלונ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בדבר זכאות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>לפיצוי ובדבר הצורך למסור פרטי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למזכירות 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14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ניתן צו כללי למוצגים לשיקול דעת קצין משטרה ו</w:t>
      </w:r>
      <w:r>
        <w:rPr>
          <w:rFonts w:cs="David" w:ascii="David" w:hAnsi="David"/>
          <w:color w:val="000000"/>
          <w:shd w:fill="FFFFFF" w:val="clear"/>
          <w:rtl w:val="true"/>
        </w:rPr>
        <w:t>/</w:t>
      </w:r>
      <w:r>
        <w:rPr>
          <w:rFonts w:ascii="David" w:hAnsi="David"/>
          <w:color w:val="000000"/>
          <w:shd w:fill="FFFFFF" w:val="clear"/>
          <w:rtl w:val="true"/>
        </w:rPr>
        <w:t>או התביעה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 w:before="240" w:after="240"/>
        <w:ind w:start="714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bookmarkStart w:id="10" w:name="Nitan"/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ט אדר תשפ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22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מרץ </w:t>
            </w:r>
            <w:r>
              <w:rPr>
                <w:rFonts w:cs="Arial" w:ascii="Arial" w:hAnsi="Arial"/>
                <w:b/>
                <w:bCs/>
              </w:rPr>
              <w:t>2023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bookmarkEnd w:id="10"/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46546-02-21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אלכסנדר נמץ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8207045" TargetMode="External"/><Relationship Id="rId8" Type="http://schemas.openxmlformats.org/officeDocument/2006/relationships/hyperlink" Target="http://www.nevo.co.il/case/25824995" TargetMode="External"/><Relationship Id="rId9" Type="http://schemas.openxmlformats.org/officeDocument/2006/relationships/hyperlink" Target="http://www.nevo.co.il/case/28266120" TargetMode="External"/><Relationship Id="rId10" Type="http://schemas.openxmlformats.org/officeDocument/2006/relationships/hyperlink" Target="http://www.nevo.co.il/case/28330552" TargetMode="External"/><Relationship Id="rId11" Type="http://schemas.openxmlformats.org/officeDocument/2006/relationships/hyperlink" Target="http://www.nevo.co.il/case/27915710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8330552" TargetMode="External"/><Relationship Id="rId14" Type="http://schemas.openxmlformats.org/officeDocument/2006/relationships/hyperlink" Target="http://www.nevo.co.il/case/28096675" TargetMode="External"/><Relationship Id="rId15" Type="http://schemas.openxmlformats.org/officeDocument/2006/relationships/hyperlink" Target="http://www.nevo.co.il/case/27960491" TargetMode="External"/><Relationship Id="rId16" Type="http://schemas.openxmlformats.org/officeDocument/2006/relationships/hyperlink" Target="http://www.nevo.co.il/case/27513376" TargetMode="External"/><Relationship Id="rId17" Type="http://schemas.openxmlformats.org/officeDocument/2006/relationships/hyperlink" Target="http://www.nevo.co.il/case/27115374" TargetMode="External"/><Relationship Id="rId18" Type="http://schemas.openxmlformats.org/officeDocument/2006/relationships/hyperlink" Target="http://www.nevo.co.il/case/27272576" TargetMode="External"/><Relationship Id="rId19" Type="http://schemas.openxmlformats.org/officeDocument/2006/relationships/hyperlink" Target="http://www.nevo.co.il/case/26642471" TargetMode="External"/><Relationship Id="rId20" Type="http://schemas.openxmlformats.org/officeDocument/2006/relationships/hyperlink" Target="http://www.nevo.co.il/case/25305595" TargetMode="External"/><Relationship Id="rId21" Type="http://schemas.openxmlformats.org/officeDocument/2006/relationships/hyperlink" Target="http://www.nevo.co.il/law/70301/40d.a" TargetMode="External"/><Relationship Id="rId22" Type="http://schemas.openxmlformats.org/officeDocument/2006/relationships/hyperlink" Target="http://www.nevo.co.il/case/20493070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2024-05-05T08:17:00Z</dcterms:created>
  <dc:creator> </dc:creator>
  <dc:description/>
  <cp:keywords/>
  <dc:language>en-IL</dc:language>
  <cp:lastModifiedBy>h1</cp:lastModifiedBy>
  <dcterms:modified xsi:type="dcterms:W3CDTF">2024-05-05T08:17:00Z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אלכסנדר נמץ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28207045;25824995;28266120;28330552:2;27915710;25824863;28096675;27960491;27513376;27115374;27272576;26642471;25305595;20493070</vt:lpwstr>
  </property>
  <property fmtid="{D5CDD505-2E9C-101B-9397-08002B2CF9AE}" pid="9" name="CITY">
    <vt:lpwstr>ת"א</vt:lpwstr>
  </property>
  <property fmtid="{D5CDD505-2E9C-101B-9397-08002B2CF9AE}" pid="10" name="DATE">
    <vt:lpwstr>20230322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70301/329.a.1;040d.a</vt:lpwstr>
  </property>
  <property fmtid="{D5CDD505-2E9C-101B-9397-08002B2CF9AE}" pid="15" name="LAWYER">
    <vt:lpwstr>סולי לביא;שרון קינן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46546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390020230322</vt:lpwstr>
  </property>
  <property fmtid="{D5CDD505-2E9C-101B-9397-08002B2CF9AE}" pid="34" name="TYPE_N_DATE">
    <vt:lpwstr>39020230322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