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46577-04-15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גרינברגר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שחר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382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 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bookmarkStart w:id="8" w:name="ABSTRACT_START"/>
      <w:bookmarkEnd w:id="8"/>
      <w:r>
        <w:rPr>
          <w:rFonts w:ascii="Calibri" w:hAnsi="Calibri" w:cs="Calibri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7.12.15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הסדר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טיעון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בעובדות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המנויות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מחמירות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29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+ </w:t>
      </w:r>
      <w:hyperlink r:id="rId15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+ </w:t>
      </w:r>
      <w:hyperlink r:id="rId16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התשל</w:t>
      </w:r>
      <w:r>
        <w:rPr>
          <w:rFonts w:cs="Calibri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Calibri" w:ascii="Calibri" w:hAnsi="Calibri"/>
          <w:b/>
          <w:bCs/>
          <w:sz w:val="28"/>
          <w:szCs w:val="28"/>
          <w:rtl w:val="true"/>
        </w:rPr>
        <w:t>-</w:t>
      </w:r>
      <w:r>
        <w:rPr>
          <w:rFonts w:cs="Calibri" w:ascii="Calibri" w:hAnsi="Calibri"/>
          <w:b/>
          <w:bCs/>
          <w:sz w:val="28"/>
          <w:szCs w:val="28"/>
        </w:rPr>
        <w:t>1977</w:t>
      </w:r>
      <w:r>
        <w:rPr>
          <w:rFonts w:cs="Calibri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Calibri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z w:val="28"/>
          <w:szCs w:val="28"/>
          <w:rtl w:val="true"/>
        </w:rPr>
        <w:t>: 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Calibri" w:ascii="Calibri" w:hAnsi="Calibri"/>
          <w:sz w:val="28"/>
          <w:szCs w:val="28"/>
          <w:rtl w:val="true"/>
        </w:rPr>
        <w:t xml:space="preserve">"); </w:t>
      </w:r>
      <w:r>
        <w:rPr>
          <w:rFonts w:ascii="Calibri" w:hAnsi="Calibri" w:cs="Calibri"/>
          <w:sz w:val="28"/>
          <w:sz w:val="28"/>
          <w:szCs w:val="28"/>
          <w:rtl w:val="true"/>
        </w:rPr>
        <w:t>תקיפת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עובד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ציבור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29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+ </w:t>
      </w:r>
      <w:hyperlink r:id="rId19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ניסיון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בזדון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סעיפים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29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+ </w:t>
      </w:r>
      <w:hyperlink r:id="rId21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25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+ </w:t>
      </w:r>
      <w:hyperlink r:id="rId22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452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+ </w:t>
      </w:r>
      <w:hyperlink r:id="rId23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והיזק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בזדון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סעיפים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29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+ </w:t>
      </w:r>
      <w:hyperlink r:id="rId25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452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+</w:t>
      </w:r>
      <w:hyperlink r:id="rId26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144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bookmarkStart w:id="9" w:name="ABSTRACT_END"/>
      <w:bookmarkEnd w:id="9"/>
      <w:r>
        <w:rPr>
          <w:rFonts w:ascii="Calibri" w:hAnsi="Calibri" w:cs="Calibri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המתוקן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מגולל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פרטי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שיפורט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31.10.13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הכניסה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תקף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ascii="Calibri" w:hAnsi="Calibri" w:cs="Calibri"/>
          <w:sz w:val="28"/>
          <w:sz w:val="28"/>
          <w:szCs w:val="28"/>
          <w:rtl w:val="true"/>
        </w:rPr>
        <w:t>להלן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החייל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גבע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קיפר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ascii="Calibri" w:hAnsi="Calibri" w:cs="Calibri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2</w:t>
      </w:r>
      <w:r>
        <w:rPr>
          <w:rFonts w:cs="Calibri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z w:val="28"/>
          <w:sz w:val="28"/>
          <w:szCs w:val="28"/>
          <w:rtl w:val="true"/>
        </w:rPr>
        <w:t>ששימש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תצפתו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בכניסה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שהמתין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לרכבו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לתושב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המקום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לצורך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פריקת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שמכר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יתקפו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יתיז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מדמיע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בעיניו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קרש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רעולי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רצו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ובהגיעם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התיז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מדמיע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בעיניו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בגופו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ובידו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הקרש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במהלך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הותז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מדמיע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לעיניו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2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ותצפת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מאחור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במקביל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לריצתו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ובסמוך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נמלטו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מחדרי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המגורים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בישיבה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בגדיו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וחזר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לביתו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ברחו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הכנסת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העובדות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המתוארות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כשבוע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לאירוע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המתואר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הגיעו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זיהו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חציר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בבעלות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ועליה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כיתוב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בערבית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שעומדת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ליידות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בבעלותו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הסתתרו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לעצים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במרחק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כשבעים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מטרים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כשהם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רעולי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והמתינו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לנסיעת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בכביש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לכיוון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צומת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עציון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מסוים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בתנועה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למקום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הסתתרו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ליידות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ופגעו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מתצפת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מאחור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ריצה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יידוי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הצטרפו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לריצה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הגיעם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התפצלו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במנוסתם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בשעות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אחה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1.5.14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המועדים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הסמוכים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שבבעלות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המצויים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לחרבת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</w:t>
      </w:r>
      <w:r>
        <w:rPr>
          <w:rFonts w:cs="Calibri" w:ascii="Calibri" w:hAnsi="Calibri"/>
          <w:sz w:val="28"/>
          <w:szCs w:val="28"/>
          <w:rtl w:val="true"/>
        </w:rPr>
        <w:t>'</w:t>
      </w:r>
      <w:r>
        <w:rPr>
          <w:rFonts w:ascii="Calibri" w:hAnsi="Calibri" w:cs="Calibri"/>
          <w:sz w:val="28"/>
          <w:sz w:val="28"/>
          <w:szCs w:val="28"/>
          <w:rtl w:val="true"/>
        </w:rPr>
        <w:t>ומג</w:t>
      </w:r>
      <w:r>
        <w:rPr>
          <w:rFonts w:cs="Calibri" w:ascii="Calibri" w:hAnsi="Calibri"/>
          <w:sz w:val="28"/>
          <w:szCs w:val="28"/>
          <w:rtl w:val="true"/>
        </w:rPr>
        <w:t>'</w:t>
      </w:r>
      <w:r>
        <w:rPr>
          <w:rFonts w:ascii="Calibri" w:hAnsi="Calibri" w:cs="Calibri"/>
          <w:sz w:val="28"/>
          <w:sz w:val="28"/>
          <w:szCs w:val="28"/>
          <w:rtl w:val="true"/>
        </w:rPr>
        <w:t>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מצפון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ascii="Calibri" w:hAnsi="Calibri" w:cs="Calibri"/>
          <w:sz w:val="28"/>
          <w:sz w:val="28"/>
          <w:szCs w:val="28"/>
          <w:rtl w:val="true"/>
        </w:rPr>
        <w:t>להלן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המטע</w:t>
      </w:r>
      <w:r>
        <w:rPr>
          <w:rFonts w:cs="Calibri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שיגיעו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למטע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ישמש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כתצפיתן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יכרתו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הזית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לצורך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מימוש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התכנית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הצטיידו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מסורים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כפפות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נשאו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עימם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ספריי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בצבע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ובהמשך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יצאו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לדרכם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בהגיעם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למטע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ובהתאם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לתכנית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כרתו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ענפיהם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35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שימש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כתצפיתן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ריסס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הכיתובים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גנבים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ו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תג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מחיר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סלעים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במטע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כתוצאה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ממעשיהם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למטע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cs="Calibri" w:ascii="Calibri" w:hAnsi="Calibri"/>
          <w:sz w:val="28"/>
          <w:szCs w:val="28"/>
        </w:rPr>
        <w:t>30,000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תסקיר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cs="Calibri" w:ascii="Calibri" w:hAnsi="Calibri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בתסקיר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שהוגש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14.3.16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נאמר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התחתן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כחודשיים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ומתגורר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בירושלים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נמסר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בעשרה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האחרונים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המעצר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תסקיר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תיאר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בצעירותו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במוסדות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בישיבה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ביצהר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שסיים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דחה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הצבאי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והחל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בישיבה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במהלך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2014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לירושלים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והחל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כמדריך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בישיבת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ודעת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משפחה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בהודו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תיאר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התקופה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בהודו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התקופה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לעצב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אישיותו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הבוגרת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תקופה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השתנו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תפיסותיו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התנהלותו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ארצה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נמנע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מלחזור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ונשאר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בירושלים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יצא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מטעם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הדברים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מחשבה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ילדותית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ותיאר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זוכר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פרצופו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המפוחד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וחש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חרטה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עמוקה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לגביהם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חרטה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תחושה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מחשבה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יגבירו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ביטחונם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תושבי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התרשם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בוצעו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גדילתו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במציאות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מורכבת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וטעונה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שייכות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והערכה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בטרם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גיבוש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הבוגרת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וייתכן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הערכה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מסביבתו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זאת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התרשם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התבגרות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לקח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רצונו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אורח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נורמטיבי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ושומר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חוק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התרשם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ומעצר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גורם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מרתיע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עבורו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לבסוף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ממליץ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נוכח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הצעיר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המלאה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שלקח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הניכר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בחיים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להימנע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והציע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יבצע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בהיקף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נרחב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הגיש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הצהרת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נפגע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להצהרה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צורפו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מסמכים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רפואיים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נפגע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ציין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היתר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נאלץ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ניתוחים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נעדר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מעבודתו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תקופה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ארוכה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בטיעונים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טען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המקרה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חמורות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ומחייבים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הולמת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להאיר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נקודות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רלוונטיות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הנסיבות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בעצם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שפעל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קטינים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הצעירים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ועובדה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לכשעצמה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מלמדת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האירוע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להדגיש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מוקדם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רעולי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נוכחותו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במקום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הרתיעה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מלהמשיך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בתקיפה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למדיניות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הנהוגה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לדבריו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רובינשטיין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5255/10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רודוניה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23.1.12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5258/09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1.10.19</w:t>
      </w:r>
      <w:r>
        <w:rPr>
          <w:rFonts w:cs="Calibri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z w:val="28"/>
          <w:sz w:val="28"/>
          <w:szCs w:val="28"/>
          <w:rtl w:val="true"/>
        </w:rPr>
        <w:t>ול</w:t>
      </w:r>
      <w:hyperlink r:id="rId30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5469/13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13.4.14</w:t>
      </w:r>
      <w:r>
        <w:rPr>
          <w:rFonts w:cs="Calibri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Calibri"/>
          <w:sz w:val="28"/>
          <w:sz w:val="28"/>
          <w:szCs w:val="28"/>
          <w:rtl w:val="true"/>
        </w:rPr>
        <w:t>מפסקי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מדיניות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הברורה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הראויה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במקרים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כגון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וודאי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בבגיר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לעונשם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שותפיו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הקטינים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נמסר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14.5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ונגזר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16.5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נגזרו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יידה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עימות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ויהודים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באזור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שיבוש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הליכי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משפט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קיבל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מידע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מודיעיני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מחייל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בגזרה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פעילות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תושבי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שותפיו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ראשית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נוכח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בהתחשב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עצמם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מרכזיים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וחמורים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יותר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לבסוף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ן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האישומים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שיכול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ויבוצע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לזקוף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לזכות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הודאתו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הצעיר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השיקומי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שמציין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לקוות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הדברים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הנקי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להסתייג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שרצף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האירועים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מלמדים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במעידה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פעמית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מאידך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משקל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לשיקולי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ההרתעה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הרתעת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הרתעת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והמסר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והברור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שיחטא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הנעשות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אידאולוגי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סכנה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למרקם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בארץ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בשקלול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האמור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מבקשת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להשית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לטובתו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הגיעו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להעיד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טוניק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שמואל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רפפורט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הגב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אורה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ודודו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לנדאו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בהודו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אליעזר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מזרחי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ומכתב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שליח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לדרמסאלה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שבהודו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שאול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שהכיר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במהלך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השליחות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העדויות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והמכתבים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הודגש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המהותי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בשנתיים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האחרונות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בצעירותו</w:t>
      </w:r>
      <w:r>
        <w:rPr>
          <w:rFonts w:cs="Calibri" w:ascii="Calibri" w:hAnsi="Calibri"/>
          <w:sz w:val="28"/>
          <w:szCs w:val="28"/>
          <w:rtl w:val="true"/>
        </w:rPr>
        <w:t xml:space="preserve">, 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מתנער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לחלוטין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בוצעו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חרטה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בהזדמנות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והודה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כמעט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בשלמותו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התסקיר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שהוגש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מתמשך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שהתקיים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אגב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מעצרו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במפגש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רושם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זנח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האלימות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הפצת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ועשיית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והדברים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מתבטאים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בחירה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שמישהו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מחייב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לכך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התייחס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הצעיר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הקטינות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להפנות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4466/13</w:t>
        </w:r>
      </w:hyperlink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נתנאל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אסולין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פורטל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22.5.15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הרשעה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צעירים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קונקרטי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לעתיד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שלהם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תפיסה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והבנה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להתייחס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קטינים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בהתייחס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המקרה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שלפנינו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מהמקרים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בפסיקה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הציג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טען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בוצעו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בסמוך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תחושה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פחד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ותפיסה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בהגנה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הישוב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בתפיסה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נכונה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ומוצדקת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במקרים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שנידונו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בפסיקה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לאמור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בהתייחסו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לעונשים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שקיבלו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השותפים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להשית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יידוי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שיבוש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נמצא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מתמשך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צה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ומקבל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מידע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חמורים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ביותר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לכך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בדרכו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והדגיש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השותף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חלקו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קיבל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והחל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חדשה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בקטין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לעניינו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לשיקולי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ההרתעה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להיזהר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בהשתתם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בענייננו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צעיר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הקטינות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זנח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מבחינת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הרתעת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היחיד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טען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מעצרו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וודאי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מרתיעים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חשש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יחזור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מחזיק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ואידאולוגיה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להוציאה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אלימה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להרתעת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נטען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להיזהר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פלילי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ומעצרו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לתכלית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מסוכנת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וודאי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צעיר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יסודי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וזנח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האלימה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כבענייננו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לבסוף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החודשיים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יהוו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ראוי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נותנים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לחומרת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בסוף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ואמר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בהתבסס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חשיבתו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המוטעית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ישמרו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ביטחון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התושבים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במציאות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כיתתו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נרצח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עיניו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חלק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לעשות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הייתה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תחושת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פחד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תפקיד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מערכת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הביטחון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מקום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להתערבות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אזרחים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לכך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מאמין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המחפשים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עניין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סיפר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שביצע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ובעקבותיו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להודו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שחזר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ללמוד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בישיבה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בירושלים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נסע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לשליחות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נעצר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סיפר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בדבריו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הפסיק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וגמל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בליבו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החומרה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חרטה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להקים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משפחה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התחתן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מלווים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ומכווינים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לבסוף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יעזור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להמשיך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בכיוון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הטוב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נמצא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keepNext w:val="true"/>
        <w:keepLines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ראשית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אדרש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לשאלה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בנפרד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4910/13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 w:ascii="Calibri" w:hAnsi="Calibri"/>
          <w:b/>
          <w:bCs/>
          <w:sz w:val="28"/>
          <w:szCs w:val="28"/>
          <w:rtl w:val="true"/>
        </w:rPr>
        <w:t>'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29.10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cs="Calibri" w:ascii="Calibri" w:hAnsi="Calibri"/>
          <w:sz w:val="28"/>
          <w:szCs w:val="28"/>
        </w:rPr>
        <w:t>14</w:t>
      </w:r>
      <w:r>
        <w:rPr>
          <w:rFonts w:cs="Calibri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Calibri"/>
          <w:sz w:val="28"/>
          <w:sz w:val="28"/>
          <w:szCs w:val="28"/>
          <w:rtl w:val="true"/>
        </w:rPr>
        <w:t>דן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בהבחנה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אירוע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אירועים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והמבחנים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להפעיל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בטרם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הענישה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4760/14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קיסלמן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7.5.15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במותב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תלתא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סיכם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מלצר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יקבע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אירוע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cs="Calibri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Calibri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אירועים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8" w:end="1022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>"...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ascii="Century" w:hAnsi="Century" w:cs="Century"/>
          <w:sz w:val="26"/>
          <w:sz w:val="26"/>
          <w:szCs w:val="26"/>
          <w:rtl w:val="true"/>
        </w:rPr>
        <w:t>עניין</w:t>
      </w:r>
      <w:r>
        <w:rPr>
          <w:rFonts w:ascii="Century" w:hAnsi="Century" w:cs="Century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sz w:val="26"/>
          <w:sz w:val="26"/>
          <w:szCs w:val="26"/>
          <w:rtl w:val="true"/>
        </w:rPr>
        <w:t>ג</w:t>
      </w:r>
      <w:r>
        <w:rPr>
          <w:rFonts w:cs="Century" w:ascii="Century" w:hAnsi="Century"/>
          <w:sz w:val="26"/>
          <w:szCs w:val="26"/>
          <w:rtl w:val="true"/>
        </w:rPr>
        <w:t>'</w:t>
      </w:r>
      <w:r>
        <w:rPr>
          <w:rFonts w:ascii="Century" w:hAnsi="Century" w:cs="Century"/>
          <w:sz w:val="26"/>
          <w:sz w:val="26"/>
          <w:szCs w:val="26"/>
          <w:rtl w:val="true"/>
        </w:rPr>
        <w:t>אבר</w:t>
      </w:r>
      <w:r>
        <w:rPr>
          <w:rFonts w:cs="Century" w:ascii="Century" w:hAnsi="Century"/>
          <w:sz w:val="26"/>
          <w:szCs w:val="26"/>
          <w:rtl w:val="true"/>
        </w:rPr>
        <w:t>...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אומץ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בדעת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רוב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ההדוק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להכרעה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הדוק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כאלה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סמיכות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זמנים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קצרה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להפריד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ולחדול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') –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Calibri" w:ascii="Calibri" w:hAnsi="Calibri"/>
          <w:sz w:val="28"/>
          <w:szCs w:val="28"/>
          <w:rtl w:val="true"/>
        </w:rPr>
        <w:tab/>
      </w:r>
      <w:r>
        <w:rPr>
          <w:rFonts w:ascii="Calibri" w:hAnsi="Calibri" w:cs="Calibri"/>
          <w:sz w:val="28"/>
          <w:sz w:val="28"/>
          <w:szCs w:val="28"/>
          <w:rtl w:val="true"/>
        </w:rPr>
        <w:t>ראו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4289/14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חנונה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21.1.15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בסעיף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38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לפסק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דנציגר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ascii="Calibri" w:hAnsi="Calibri" w:cs="Calibri"/>
          <w:sz w:val="28"/>
          <w:sz w:val="28"/>
          <w:szCs w:val="28"/>
          <w:rtl w:val="true"/>
        </w:rPr>
        <w:t>בקשה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נדחתה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hyperlink r:id="rId36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845/15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ברבי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22.3.15</w:t>
      </w:r>
      <w:r>
        <w:rPr>
          <w:rFonts w:cs="Calibri" w:ascii="Calibri" w:hAnsi="Calibri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בענייננו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בשלושה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אמנם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מוקדם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ושותפיו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אולם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עצמם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במהותם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ובהתחשב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האישומים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בהתאם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למצוות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המחוקק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בסימן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לפרק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שקילת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החברתי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שנפגע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ומידת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מדיניות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הנהוגה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הקשורות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שנפגעו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בשלומו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ובטחונו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בגוף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ובנפש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הפוגעת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עמוקה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וחמורה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בכבוד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בסיסי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הותקף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מוצאו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בשלומו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וברכושו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לנהג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המשאית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הפוטנציאלי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שיעור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ולמעלה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בתחושת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הביטחון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התושבים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באזור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בקניינו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ובפרנסתו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תכליתה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להסב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המטע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מוצאו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בכבודו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השורשי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ביותר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לרכוש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בלבד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בנפש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תחושת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העלבון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והצער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צריך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הקונקרטי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שנגרם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מעבר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לערכים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החברתיים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שנפגעו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שנעשו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מתוכנן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ומתמשך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אידאולוגי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תכליתם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בתושבים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התרסה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כנגד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כוחות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הביטחון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הפועלים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באזור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מהווים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עמוקה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ביותר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בסדר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הציבורי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ומלבים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קבוצות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אוכלוסייה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שונות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מסכנים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וממשי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מרקם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העדין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ממילא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בארץ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ופוגעים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הציבור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כולו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שנועדו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לערער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יסודות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החברה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ולפגוע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בצביונה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המדינה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כמדינה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יהודית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ודמוקרטית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הדגיש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החומרה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המיוחדת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5794/15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טוויטו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31.1.16</w:t>
      </w:r>
      <w:r>
        <w:rPr>
          <w:rFonts w:cs="Calibri" w:ascii="Calibri" w:hAnsi="Calibri"/>
          <w:sz w:val="28"/>
          <w:szCs w:val="28"/>
          <w:rtl w:val="true"/>
        </w:rPr>
        <w:t>)</w:t>
      </w:r>
      <w:r>
        <w:rPr>
          <w:rFonts w:cs="Calibri" w:ascii="Calibri" w:hAnsi="Calibri"/>
          <w:b/>
          <w:bCs/>
          <w:sz w:val="28"/>
          <w:szCs w:val="28"/>
          <w:rtl w:val="true"/>
        </w:rPr>
        <w:t>: 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יהודית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ודמוקרטית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והשולח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אש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במבקשי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דו</w:t>
      </w:r>
      <w:r>
        <w:rPr>
          <w:rFonts w:cs="Calibri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קיום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יהודים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לערבים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חולק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דרכם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פוגע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בערכיה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הדמוקרטיים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המדינה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בערכיה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היהודיים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ותחת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שינהג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דרכי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שלום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וסובלנות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הארץ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מחרחר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ומלבה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מלבה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תרתי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משמע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שנאה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ולבתי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בכלל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חובה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להיאבק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בכך</w:t>
      </w:r>
      <w:r>
        <w:rPr>
          <w:rFonts w:cs="Calibri" w:ascii="Calibri" w:hAnsi="Calibri"/>
          <w:b/>
          <w:bCs/>
          <w:spacing w:val="10"/>
          <w:sz w:val="28"/>
          <w:szCs w:val="28"/>
          <w:rtl w:val="true"/>
        </w:rPr>
        <w:t xml:space="preserve">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– </w:t>
      </w:r>
      <w:r>
        <w:rPr>
          <w:rFonts w:ascii="Calibri" w:hAnsi="Calibri" w:cs="Calibri"/>
          <w:sz w:val="28"/>
          <w:sz w:val="28"/>
          <w:szCs w:val="28"/>
          <w:rtl w:val="true"/>
        </w:rPr>
        <w:t>לצערי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נדרש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בתקופה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האחרונה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לדון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ברכוש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ברקע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מניעים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ואידאולוגיים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פעמים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הברורה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מחייבים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משמעותית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משקל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לשיקולי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ההרתעה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בקטינים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דברי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רובינשטיין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5469/13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13.4.2014</w:t>
      </w:r>
      <w:r>
        <w:rPr>
          <w:rFonts w:cs="Calibri" w:ascii="Calibri" w:hAnsi="Calibri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567" w:leader="none"/>
        </w:tabs>
        <w:overflowPunct w:val="false"/>
        <w:autoSpaceDE w:val="false"/>
        <w:ind w:start="1642" w:end="1282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8" w:end="1022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חותרות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מהותנו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כמדינת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ודמוקרטית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תולדותיה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המיעוט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הלא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בתוכה</w:t>
      </w:r>
      <w:r>
        <w:rPr>
          <w:rFonts w:cs="Calibri" w:ascii="Calibri" w:hAnsi="Calibri"/>
          <w:sz w:val="26"/>
          <w:szCs w:val="26"/>
          <w:rtl w:val="true"/>
        </w:rPr>
        <w:t xml:space="preserve">...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[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cs="Calibri" w:ascii="Calibri" w:hAnsi="Calibri"/>
          <w:sz w:val="26"/>
          <w:szCs w:val="26"/>
          <w:rtl w:val="true"/>
        </w:rPr>
        <w:t xml:space="preserve">] </w:t>
      </w:r>
      <w:r>
        <w:rPr>
          <w:rFonts w:ascii="Calibri" w:hAnsi="Calibri" w:cs="Calibri"/>
          <w:sz w:val="26"/>
          <w:sz w:val="26"/>
          <w:szCs w:val="26"/>
          <w:rtl w:val="true"/>
        </w:rPr>
        <w:t>מנוס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מהשתת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גזענות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בקטינים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כמובן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התחשבות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האינדיבידואלי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השיקומי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בוודאי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בקטינים</w:t>
      </w:r>
      <w:r>
        <w:rPr>
          <w:rFonts w:cs="Calibri" w:ascii="Calibri" w:hAnsi="Calibri"/>
          <w:sz w:val="26"/>
          <w:szCs w:val="26"/>
          <w:rtl w:val="true"/>
        </w:rPr>
        <w:t xml:space="preserve">..."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אציין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פסק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עמית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3981/14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3.8.2014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בערעורו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קטין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10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הותיר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והדגיש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8" w:end="1022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גזענות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ופוגעים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בשלומו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ובטחונו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בזויים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בהיבט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המוסרי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נוגדים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המסורת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היהודית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כבוד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הבריות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ומכתימים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דמותה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ומחוצה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</w:t>
      </w:r>
      <w:r>
        <w:rPr>
          <w:rFonts w:cs="Calibri" w:ascii="Calibri" w:hAnsi="Calibri"/>
          <w:sz w:val="26"/>
          <w:szCs w:val="26"/>
          <w:rtl w:val="true"/>
        </w:rPr>
        <w:t xml:space="preserve">...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גזענות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הרתעה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וליתן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להרתעת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הרבים</w:t>
      </w:r>
      <w:r>
        <w:rPr>
          <w:rFonts w:cs="Calibri" w:ascii="Calibri" w:hAnsi="Calibri"/>
          <w:sz w:val="26"/>
          <w:szCs w:val="26"/>
          <w:rtl w:val="true"/>
        </w:rPr>
        <w:t xml:space="preserve">..."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5258/09</w:t>
        </w:r>
      </w:hyperlink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color w:val="000000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cs="Calibri" w:ascii="Calibri" w:hAnsi="Calibri"/>
          <w:sz w:val="28"/>
          <w:szCs w:val="28"/>
        </w:rPr>
        <w:t>1.10.09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שהוזכר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לקטין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16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שנקלע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באקראי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להתקפה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חבורה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צעירים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קטינים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בשכונת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פסגת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זאב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בירושלים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שכללה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המונית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אובדן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דקירה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חלקו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באירוע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שהצטרף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תוקפים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בהכאות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ובעיטות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בלבד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בפס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נגזרו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וזאת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שיקומי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בפסק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Calibri"/>
          <w:sz w:val="28"/>
          <w:sz w:val="28"/>
          <w:szCs w:val="28"/>
          <w:rtl w:val="true"/>
        </w:rPr>
        <w:t>לוי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דעתו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ותקיפות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כאלה</w:t>
      </w:r>
      <w:r>
        <w:rPr>
          <w:rFonts w:cs="Arial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240"/>
        <w:ind w:start="1361" w:end="1021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הפסול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שבהתנהגות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החשש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שבאווירה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הטעונה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השוררת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ממילא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להישנות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להגיב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הורגל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בתנאי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כליאה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כרוך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בקשיים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מבוטלים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מצווים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להעדיף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אינטרס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ההרתעה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cs="Calibri" w:ascii="Calibri" w:hAnsi="Calibri"/>
          <w:sz w:val="26"/>
          <w:szCs w:val="26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</w:tabs>
        <w:overflowPunct w:val="false"/>
        <w:autoSpaceDE w:val="false"/>
        <w:ind w:start="1642" w:end="1282"/>
        <w:jc w:val="both"/>
        <w:rPr>
          <w:rFonts w:ascii="Arial TUR;Arial" w:hAnsi="Arial TUR;Arial" w:cs="Arial TUR;Arial"/>
          <w:spacing w:val="10"/>
          <w:sz w:val="28"/>
          <w:szCs w:val="28"/>
        </w:rPr>
      </w:pPr>
      <w:r>
        <w:rPr>
          <w:rFonts w:cs="Arial TUR;Arial" w:ascii="Arial TUR;Arial" w:hAnsi="Arial TUR;Arial"/>
          <w:spacing w:val="10"/>
          <w:sz w:val="28"/>
          <w:szCs w:val="28"/>
          <w:rtl w:val="true"/>
        </w:rPr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5024/14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אברהם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אלמקיס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28.7.15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במג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ובקבוקים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סטודנטים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ערבים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ואגב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באוויר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בקשת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נדחתה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עיון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בפסיקה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הטלת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משמעותיים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שבוצעו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ואידאולוגי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שכללו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תקיפות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שנועדו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לפגוע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ברכוש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בלבד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- "</w:t>
      </w:r>
      <w:r>
        <w:rPr>
          <w:sz w:val="28"/>
          <w:sz w:val="28"/>
          <w:szCs w:val="28"/>
          <w:rtl w:val="true"/>
        </w:rPr>
        <w:t>בגיר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" - </w:t>
      </w:r>
      <w:r>
        <w:rPr>
          <w:sz w:val="28"/>
          <w:sz w:val="28"/>
          <w:szCs w:val="28"/>
          <w:rtl w:val="true"/>
        </w:rPr>
        <w:t>והפנה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4466/13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נתנאל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אסולין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פורטל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22.5.15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בוטלו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בנזק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קונקרטי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לעתידם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התבגרות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בבחינת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שיפורט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גזעני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ואידאולוגי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בקטינים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מתחייבת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sz w:val="28"/>
          <w:szCs w:val="28"/>
          <w:rtl w:val="true"/>
        </w:rPr>
        <w:t xml:space="preserve">. </w:t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לבחון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שלפניי</w:t>
      </w:r>
      <w:r>
        <w:rPr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1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התכנון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שקדם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לביצוע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Calibri" w:hAnsi="Calibri" w:cs="Calibri"/>
          <w:sz w:val="28"/>
          <w:sz w:val="28"/>
          <w:szCs w:val="28"/>
          <w:rtl w:val="true"/>
        </w:rPr>
        <w:t>מכתב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בפעולות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מתוכננות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ומתואמות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שותפיו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תפקיד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להוציא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תכנונם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תצפתו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הכניסה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הכינו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לעצמם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מילוט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כיסו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שפעלו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לקחו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קרש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מהרצפה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מנת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להכות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באמצעותו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המתלונן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שותפיו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תכננו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הזית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ולצורך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הצטיידו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עבודה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מסורים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כפפות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פעלו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באופן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מתוכנן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תפקיד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מוגדר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מראש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2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חלקו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היחסי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בביצוע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ומידת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ההשפעה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אחר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בביצוע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בשלושת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האישומים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לנאשם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חלק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מרכזי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הפעולות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הקרש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מיידה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שכורת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הזית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לאמור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המאשימה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בוגר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השותפים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מבוטל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והדבר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הדינמיקה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השותפים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נושא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יותר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3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הנזק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שהיה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צפוי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להיגרם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מביצוע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צפוי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למתלונן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בתקיפתו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באמצעות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קרש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שימוש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מדמיע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יוכל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להגן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עצמו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צפוי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מאוד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כידוע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יידוי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רכב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עשויה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לגרום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גדולה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ביותר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בנוסעי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הרכב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וברכבים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בכביש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לרכוש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שצפוי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להיגרם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מהכריתה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בפרנסה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המטע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4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הנזק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שנגרם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מביצוע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פיזי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למתלוננים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מהשימוש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מדמיע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שריטה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שמאל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בהצהרת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הנפגע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הנזקים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הרפואיים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שנגרמו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אולם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הנפשי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כתוצאה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מאותה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פגיעה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פגעו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במשאית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הידוע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נגרם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שפורט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בכריתת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ענפים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35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עצי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אומדן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הנזק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הועמד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cs="Calibri" w:ascii="Calibri" w:hAnsi="Calibri"/>
          <w:sz w:val="28"/>
          <w:szCs w:val="28"/>
          <w:rtl w:val="true"/>
        </w:rPr>
        <w:t>-</w:t>
      </w:r>
      <w:r>
        <w:rPr>
          <w:rFonts w:cs="Calibri" w:ascii="Calibri" w:hAnsi="Calibri"/>
          <w:sz w:val="28"/>
          <w:szCs w:val="28"/>
        </w:rPr>
        <w:t>30,000</w:t>
      </w:r>
      <w:r>
        <w:rPr>
          <w:rFonts w:cs="Times New Roman"/>
          <w:sz w:val="28"/>
          <w:szCs w:val="28"/>
        </w:rPr>
        <w:t>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5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הסיבות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שהביאו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לבצע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" –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ממניעים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אידיאולוגיים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וגזעניים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6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יכולתו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להבין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אשר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הוא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עושה</w:t>
      </w:r>
      <w:r>
        <w:rPr>
          <w:rFonts w:cs="Segoe UI" w:ascii="Segoe UI" w:hAnsi="Segoe UI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הפסול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שבמעשהו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את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משמעות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מעשהו</w:t>
      </w:r>
      <w:r>
        <w:rPr>
          <w:rFonts w:cs="Segoe UI" w:ascii="Segoe UI" w:hAnsi="Segoe UI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לרבות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בשל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גילו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יכול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והפסול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בהם</w:t>
      </w:r>
      <w:r>
        <w:rPr>
          <w:rFonts w:cs="Calibri" w:ascii="Calibri" w:hAnsi="Calibri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7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 "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יכולתו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להימנע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מהמעשה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ומידת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השליטה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שלו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מעשהו</w:t>
      </w:r>
      <w:r>
        <w:rPr>
          <w:rFonts w:cs="Segoe UI" w:ascii="Segoe UI" w:hAnsi="Segoe UI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לרבות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עקב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התגרות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של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נפגע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b/>
          <w:b/>
          <w:bCs/>
          <w:color w:val="000000"/>
          <w:sz w:val="28"/>
          <w:sz w:val="28"/>
          <w:szCs w:val="28"/>
          <w:rtl w:val="true"/>
        </w:rPr>
        <w:t>העבירה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" –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הנאשם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וודאי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היה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יכול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להימנע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מהמעשה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ובוודאי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שהייתה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לו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שליטה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על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מעשיו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10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) 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האכזריות</w:t>
      </w:r>
      <w:r>
        <w:rPr>
          <w:rFonts w:cs="Calibri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האלימות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וההתעללות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בנפגע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ניצולו</w:t>
      </w:r>
      <w:r>
        <w:rPr>
          <w:rFonts w:cs="Calibri" w:ascii="Calibri" w:hAnsi="Calibri"/>
          <w:sz w:val="28"/>
          <w:szCs w:val="28"/>
          <w:rtl w:val="true"/>
        </w:rPr>
        <w:t xml:space="preserve">" - </w:t>
      </w:r>
      <w:r>
        <w:rPr>
          <w:rFonts w:ascii="Calibri" w:hAnsi="Calibri" w:cs="Calibri"/>
          <w:sz w:val="28"/>
          <w:sz w:val="28"/>
          <w:szCs w:val="28"/>
          <w:rtl w:val="true"/>
        </w:rPr>
        <w:t>ביחס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בתקיפה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מבלי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היכרות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מוקדמת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ומבלי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שהמתלונן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- </w:t>
      </w:r>
      <w:r>
        <w:rPr>
          <w:rFonts w:ascii="Calibri" w:hAnsi="Calibri" w:cs="Calibri"/>
          <w:sz w:val="28"/>
          <w:sz w:val="28"/>
          <w:szCs w:val="28"/>
          <w:rtl w:val="true"/>
        </w:rPr>
        <w:t>נפגע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Calibri"/>
          <w:sz w:val="28"/>
          <w:sz w:val="28"/>
          <w:szCs w:val="28"/>
          <w:rtl w:val="true"/>
        </w:rPr>
        <w:t>עשה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ולשותפיו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באדם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שהגיע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לישוב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יהודי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כחלק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מפרנסתו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והמתין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בחוץ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והם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תושבי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היישוב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החליטו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לתקוף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מבלי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שהייתה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יכולת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להתגונן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מפניהם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ס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"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ק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(</w:t>
      </w:r>
      <w:r>
        <w:rPr>
          <w:rFonts w:cs="Segoe UI" w:ascii="Segoe UI" w:hAnsi="Segoe UI"/>
          <w:color w:val="000000"/>
          <w:sz w:val="28"/>
          <w:szCs w:val="28"/>
        </w:rPr>
        <w:t>8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), (</w:t>
      </w:r>
      <w:r>
        <w:rPr>
          <w:rFonts w:cs="Segoe UI" w:ascii="Segoe UI" w:hAnsi="Segoe UI"/>
          <w:color w:val="000000"/>
          <w:sz w:val="28"/>
          <w:szCs w:val="28"/>
        </w:rPr>
        <w:t>9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)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ו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-(</w:t>
      </w:r>
      <w:r>
        <w:rPr>
          <w:rFonts w:cs="Segoe UI" w:ascii="Segoe UI" w:hAnsi="Segoe UI"/>
          <w:color w:val="000000"/>
          <w:sz w:val="28"/>
          <w:szCs w:val="28"/>
        </w:rPr>
        <w:t>11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 xml:space="preserve">)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אינם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רלוונטיים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Segoe UI" w:hAnsi="Segoe UI" w:cs="Segoe UI"/>
          <w:color w:val="000000"/>
          <w:sz w:val="28"/>
          <w:sz w:val="28"/>
          <w:szCs w:val="28"/>
          <w:rtl w:val="true"/>
        </w:rPr>
        <w:t>לענייננו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.</w:t>
      </w:r>
      <w:r>
        <w:rPr>
          <w:rFonts w:cs="Segoe UI" w:ascii="Segoe UI" w:hAnsi="Segoe UI"/>
          <w:color w:val="000000"/>
          <w:sz w:val="28"/>
          <w:szCs w:val="28"/>
          <w:rtl w:val="true"/>
        </w:rPr>
        <w:t>)</w:t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להעמיד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כדלהלן</w:t>
      </w:r>
      <w:r>
        <w:rPr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ascii="Calibri" w:hAnsi="Calibri" w:cs="Calibri"/>
          <w:sz w:val="28"/>
          <w:sz w:val="28"/>
          <w:szCs w:val="28"/>
          <w:rtl w:val="true"/>
        </w:rPr>
        <w:t>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cs="Calibri" w:ascii="Calibri" w:hAnsi="Calibri"/>
          <w:sz w:val="28"/>
          <w:szCs w:val="28"/>
        </w:rPr>
        <w:t>1</w:t>
      </w:r>
      <w:r>
        <w:rPr>
          <w:rFonts w:cs="Calibri" w:ascii="Calibri" w:hAnsi="Calibri"/>
          <w:sz w:val="28"/>
          <w:szCs w:val="28"/>
          <w:rtl w:val="true"/>
        </w:rPr>
        <w:t xml:space="preserve"> -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r>
        <w:rPr>
          <w:rFonts w:cs="Calibri" w:ascii="Calibri" w:hAnsi="Calibri"/>
          <w:sz w:val="28"/>
          <w:szCs w:val="28"/>
          <w:rtl w:val="true"/>
        </w:rPr>
        <w:t>-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ascii="Calibri" w:hAnsi="Calibri" w:cs="Calibri"/>
          <w:sz w:val="28"/>
          <w:sz w:val="28"/>
          <w:szCs w:val="28"/>
          <w:rtl w:val="true"/>
        </w:rPr>
        <w:t>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</w:t>
      </w:r>
      <w:r>
        <w:rPr>
          <w:rFonts w:cs="Calibri" w:ascii="Calibri" w:hAnsi="Calibri"/>
          <w:sz w:val="28"/>
          <w:szCs w:val="28"/>
          <w:rtl w:val="true"/>
        </w:rPr>
        <w:t xml:space="preserve">' </w:t>
      </w:r>
      <w:r>
        <w:rPr>
          <w:rFonts w:cs="Calibri" w:ascii="Calibri" w:hAnsi="Calibri"/>
          <w:sz w:val="28"/>
          <w:szCs w:val="28"/>
        </w:rPr>
        <w:t>2</w:t>
      </w:r>
      <w:r>
        <w:rPr>
          <w:rFonts w:cs="Calibri" w:ascii="Calibri" w:hAnsi="Calibri"/>
          <w:sz w:val="28"/>
          <w:szCs w:val="28"/>
          <w:rtl w:val="true"/>
        </w:rPr>
        <w:t xml:space="preserve"> -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לריצוי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3</w:t>
      </w:r>
      <w:r>
        <w:rPr>
          <w:rFonts w:cs="Calibri" w:ascii="Calibri" w:hAnsi="Calibri"/>
          <w:sz w:val="28"/>
          <w:szCs w:val="28"/>
          <w:rtl w:val="true"/>
        </w:rPr>
        <w:t xml:space="preserve"> -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לריצוי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בעבודות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ועד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 xml:space="preserve">באשר לאפשרות של </w:t>
      </w:r>
      <w:r>
        <w:rPr>
          <w:rFonts w:ascii="Calibri" w:hAnsi="Calibri" w:cs="Calibri"/>
          <w:sz w:val="28"/>
          <w:sz w:val="28"/>
          <w:szCs w:val="28"/>
          <w:rtl w:val="true"/>
        </w:rPr>
        <w:t>סטייה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מהמתחם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בעקבות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שיקולי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שיקום</w:t>
      </w:r>
      <w:r>
        <w:rPr>
          <w:rFonts w:cs="Calibri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שעולה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בעוצמה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במקרה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שלפני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התבגרות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ושינה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דרכו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מאז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בוצעו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תסקיר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חיובי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שבאו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להעיד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אופיו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דיברו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המהותי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משקל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תומך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מתנער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ופתח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חדשה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דבר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להערכה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אולם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חוששני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נוכח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חומרת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האירועים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בכתב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הצורך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הולמת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ובהרתעה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מאפשרים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לחרוג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מהמתחם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אמירות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העליון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בעניין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שנסקרו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ברורות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בקטינים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שיקום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ובמקרה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שלפני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מצאתי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לחרוג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ממדיניות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בהתחשב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מצאתי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יינתן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המתחם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ואני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חרף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שיוטל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מאפשר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להמשיך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בדרכו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החדשה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ולחיות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נורמטיביים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ריצוי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העונש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אעבור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לבחינת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לחוק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הרלוונטיות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לענייננו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לשם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גזירת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המתחם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לקולא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שקלתי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גילו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הצעיר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העובדה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מפגש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גורמי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האכיפה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והחרטה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הכנה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שהביע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עולים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מהתסקיר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מדבריהם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האופי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ומדבריו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שקלתי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הודאתו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בשלב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מוקדם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חסכה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שיפוטי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לקיחת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העובדה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דרכו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וכיום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פניו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נראה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אינו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תומך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בפעילות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אידאולוגית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אלימה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כפי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שפורט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לעיל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לחומרא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שקלתי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הצורך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הממשי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בהרתעה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והעברת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וברור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כנגד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בידי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להתעלם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שנגזר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שאר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השותפים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לעבירות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כאמור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שותפים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קטינים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כאשר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מ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יליד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1999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כבן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14.5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הורשע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והוטל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צ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חויב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בפיצוי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למתלוננים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2000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יליד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1997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16.5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הוטל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8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נוספים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יידוי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במסגרת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עימות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ערבים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ויהודים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והשני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שיבוש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הליכי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משפט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בקשר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חייל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צה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שהעביר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מידע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מודיעני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אודות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תושבי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עין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בנוסף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לעונשי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חויב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בפיצוי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מהמתלוננים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בסך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</w:rPr>
        <w:t>4,000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ב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כ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ביקש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לאבחן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הנסיבות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דנן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מול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אלו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שמדובר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במספר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רב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יותר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אישומים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וכן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מאחר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שש</w:t>
      </w:r>
      <w:r>
        <w:rPr>
          <w:rFonts w:cs="Calibri" w:ascii="Calibri" w:hAnsi="Calibri"/>
          <w:sz w:val="28"/>
          <w:szCs w:val="28"/>
          <w:rtl w:val="true"/>
        </w:rPr>
        <w:t>"</w:t>
      </w:r>
      <w:r>
        <w:rPr>
          <w:rFonts w:ascii="Calibri" w:hAnsi="Calibri" w:cs="Calibri"/>
          <w:sz w:val="28"/>
          <w:sz w:val="28"/>
          <w:szCs w:val="28"/>
          <w:rtl w:val="true"/>
        </w:rPr>
        <w:t>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מלאה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מעשיו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תהליך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משמעותי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כבענייננו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szCs w:val="28"/>
          <w:rtl w:val="true"/>
        </w:rPr>
        <w:t>ניתן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אמנם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לקבל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אבחנה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זו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אולם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להתעלם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מפער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הגילאים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ביניהם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>(</w:t>
      </w:r>
      <w:r>
        <w:rPr>
          <w:rFonts w:ascii="Calibri" w:hAnsi="Calibri" w:cs="Calibri"/>
          <w:sz w:val="28"/>
          <w:sz w:val="28"/>
          <w:szCs w:val="28"/>
          <w:rtl w:val="true"/>
        </w:rPr>
        <w:t>כשנתיים</w:t>
      </w:r>
      <w:r>
        <w:rPr>
          <w:rFonts w:cs="Calibri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Calibri"/>
          <w:sz w:val="28"/>
          <w:sz w:val="28"/>
          <w:szCs w:val="28"/>
          <w:rtl w:val="true"/>
        </w:rPr>
        <w:t>ואף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הקטינות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הוא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עדיין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בעת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ביצוע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המעשים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והאחריות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הנגזרת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מכך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היא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וודאי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שונה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נוכח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האמור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בשים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לב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לשיקולי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ההרתעה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ואחידות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הענישה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מחד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ומאידך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השינוי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המשמעותי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שעבר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ולקיחת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האחריות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סבור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להעמיד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עונש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ברף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הנמוך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של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כל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מהמתחמים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szCs w:val="28"/>
          <w:rtl w:val="true"/>
        </w:rPr>
        <w:t>יחד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זאת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יש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לתת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ביטוי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מסוים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ליתר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השיקולים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לאור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האמור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לעיל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אני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גוזר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הנאשם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את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העונשים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הבאים</w:t>
      </w:r>
      <w:r>
        <w:rPr>
          <w:rFonts w:cs="Calibri" w:ascii="Calibri" w:hAnsi="Calibri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240"/>
        <w:ind w:hanging="357" w:start="357" w:end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הראשון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z w:val="28"/>
          <w:szCs w:val="28"/>
        </w:rPr>
        <w:t>6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השני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z w:val="28"/>
          <w:szCs w:val="28"/>
        </w:rPr>
        <w:t>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Calibri"/>
          <w:sz w:val="28"/>
          <w:sz w:val="28"/>
          <w:szCs w:val="28"/>
          <w:rtl w:val="true"/>
        </w:rPr>
        <w:t>בגין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האישום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השלישי</w:t>
      </w:r>
      <w:r>
        <w:rPr>
          <w:rFonts w:cs="Calibri" w:ascii="Calibri" w:hAnsi="Calibri"/>
          <w:sz w:val="28"/>
          <w:szCs w:val="28"/>
          <w:rtl w:val="true"/>
        </w:rPr>
        <w:t xml:space="preserve">, </w:t>
      </w:r>
      <w:r>
        <w:rPr>
          <w:rFonts w:cs="Calibri" w:ascii="Calibri" w:hAnsi="Calibri"/>
          <w:sz w:val="28"/>
          <w:szCs w:val="28"/>
        </w:rPr>
        <w:t>2</w:t>
      </w:r>
      <w:r>
        <w:rPr>
          <w:rFonts w:cs="Calibri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חודשי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מאסר</w:t>
      </w:r>
      <w:r>
        <w:rPr>
          <w:rFonts w:ascii="Calibri" w:hAnsi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szCs w:val="28"/>
          <w:rtl w:val="true"/>
        </w:rPr>
        <w:t>בפועל</w:t>
      </w:r>
      <w:r>
        <w:rPr>
          <w:rFonts w:cs="Calibri" w:ascii="Calibri" w:hAnsi="Calibri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240"/>
        <w:ind w:hanging="357" w:start="357" w:end="0"/>
        <w:contextualSpacing w:val="false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המאסרים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ירוצו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מצטבר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לרצות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הכול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בניכוי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ימי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20.4.15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ועד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7.6.15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240"/>
        <w:ind w:hanging="357" w:start="357" w:end="0"/>
        <w:contextualSpacing w:val="false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פיצוי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szCs w:val="28"/>
          <w:rtl w:val="true"/>
        </w:rPr>
        <w:t>₪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ופיצוי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באישום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בסך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szCs w:val="28"/>
          <w:rtl w:val="true"/>
        </w:rPr>
        <w:t>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סכומים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יופקדו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בקופת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תשלומים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שווים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ורצופים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1.7.16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ויועברו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למתלוננים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פרטים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שתמסור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240"/>
        <w:ind w:hanging="357" w:start="357" w:end="0"/>
        <w:contextualSpacing w:val="false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18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מן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הסוגים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בהם</w:t>
      </w:r>
      <w:r>
        <w:rPr>
          <w:rFonts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19.6.16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10:00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ניצן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כשברשותו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הכניסה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האפשרות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אבחון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בטל</w:t>
      </w:r>
      <w:r>
        <w:rPr>
          <w:sz w:val="28"/>
          <w:szCs w:val="28"/>
          <w:rtl w:val="true"/>
        </w:rPr>
        <w:t xml:space="preserve">': </w:t>
      </w:r>
      <w:r>
        <w:rPr>
          <w:sz w:val="28"/>
          <w:szCs w:val="28"/>
        </w:rPr>
        <w:t>08-9787377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08-9787336</w:t>
      </w:r>
      <w:r>
        <w:rPr>
          <w:sz w:val="28"/>
          <w:szCs w:val="28"/>
          <w:rtl w:val="true"/>
        </w:rPr>
        <w:t xml:space="preserve">. </w:t>
      </w:r>
    </w:p>
    <w:p>
      <w:pPr>
        <w:pStyle w:val="11"/>
        <w:numPr>
          <w:ilvl w:val="0"/>
          <w:numId w:val="2"/>
        </w:numPr>
        <w:ind w:hanging="36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אייר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01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יוני </w:t>
      </w:r>
      <w:r>
        <w:rPr>
          <w:rFonts w:cs="Arial" w:ascii="Arial" w:hAnsi="Arial"/>
          <w:sz w:val="28"/>
          <w:szCs w:val="28"/>
        </w:rPr>
        <w:t>2016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בהעדר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בן ציון גרינברגר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46577-04-15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אור שחר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434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iCs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 w:val="false"/>
      <w:bCs w:val="fals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David"/>
    </w:rPr>
  </w:style>
  <w:style w:type="character" w:styleId="WW8Num12z0">
    <w:name w:val="WW8Num12z0"/>
    <w:qFormat/>
    <w:rPr>
      <w:rFonts w:cs="David"/>
      <w:sz w:val="24"/>
      <w:szCs w:val="24"/>
    </w:rPr>
  </w:style>
  <w:style w:type="character" w:styleId="WW8Num13z0">
    <w:name w:val="WW8Num13z0"/>
    <w:qFormat/>
    <w:rPr>
      <w:rFonts w:cs="David"/>
      <w:bCs w:val="false"/>
      <w:iCs w:val="false"/>
      <w:sz w:val="24"/>
      <w:szCs w:val="24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stParagraphChar">
    <w:name w:val="List Paragraph Char"/>
    <w:qFormat/>
    <w:rPr>
      <w:rFonts w:ascii="Calibri" w:hAnsi="Calibri" w:cs="Arial"/>
      <w:sz w:val="22"/>
      <w:szCs w:val="22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1">
    <w:name w:val="סגנון1 תו"/>
    <w:qFormat/>
    <w:rPr>
      <w:rFonts w:ascii="Calibri" w:hAnsi="Calibri" w:cs="David"/>
      <w:sz w:val="26"/>
      <w:szCs w:val="26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</w:pPr>
    <w:rPr>
      <w:rFonts w:cs="FrankRuehl"/>
      <w:spacing w:val="10"/>
      <w:sz w:val="22"/>
      <w:szCs w:val="28"/>
    </w:rPr>
  </w:style>
  <w:style w:type="paragraph" w:styleId="11">
    <w:name w:val="סגנון1"/>
    <w:basedOn w:val="Normal"/>
    <w:qFormat/>
    <w:pPr>
      <w:numPr>
        <w:ilvl w:val="0"/>
        <w:numId w:val="2"/>
      </w:numPr>
      <w:spacing w:lineRule="auto" w:line="360" w:before="0" w:after="240"/>
      <w:ind w:hanging="0" w:start="6" w:end="0"/>
      <w:jc w:val="both"/>
    </w:pPr>
    <w:rPr>
      <w:rFonts w:ascii="Calibri" w:hAnsi="Calibri" w:cs="Calibri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f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382a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382.a" TargetMode="External"/><Relationship Id="rId16" Type="http://schemas.openxmlformats.org/officeDocument/2006/relationships/hyperlink" Target="http://www.nevo.co.il/law/70301/144.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82a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/144.f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452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/144.f" TargetMode="External"/><Relationship Id="rId28" Type="http://schemas.openxmlformats.org/officeDocument/2006/relationships/hyperlink" Target="http://www.nevo.co.il/case/5949387" TargetMode="External"/><Relationship Id="rId29" Type="http://schemas.openxmlformats.org/officeDocument/2006/relationships/hyperlink" Target="http://www.nevo.co.il/case/6002349" TargetMode="External"/><Relationship Id="rId30" Type="http://schemas.openxmlformats.org/officeDocument/2006/relationships/hyperlink" Target="http://www.nevo.co.il/case/16900220" TargetMode="External"/><Relationship Id="rId31" Type="http://schemas.openxmlformats.org/officeDocument/2006/relationships/hyperlink" Target="http://www.nevo.co.il/case/7688113" TargetMode="External"/><Relationship Id="rId32" Type="http://schemas.openxmlformats.org/officeDocument/2006/relationships/hyperlink" Target="http://www.nevo.co.il/case/13093721" TargetMode="External"/><Relationship Id="rId33" Type="http://schemas.openxmlformats.org/officeDocument/2006/relationships/hyperlink" Target="http://www.nevo.co.il/case/17023776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17009738" TargetMode="External"/><Relationship Id="rId36" Type="http://schemas.openxmlformats.org/officeDocument/2006/relationships/hyperlink" Target="http://www.nevo.co.il/case/20009883" TargetMode="External"/><Relationship Id="rId37" Type="http://schemas.openxmlformats.org/officeDocument/2006/relationships/hyperlink" Target="http://www.nevo.co.il/law/70301/fCa1S" TargetMode="External"/><Relationship Id="rId38" Type="http://schemas.openxmlformats.org/officeDocument/2006/relationships/hyperlink" Target="http://www.nevo.co.il/case/20923902" TargetMode="External"/><Relationship Id="rId39" Type="http://schemas.openxmlformats.org/officeDocument/2006/relationships/hyperlink" Target="http://www.nevo.co.il/case/16900220" TargetMode="External"/><Relationship Id="rId40" Type="http://schemas.openxmlformats.org/officeDocument/2006/relationships/hyperlink" Target="http://www.nevo.co.il/case/16983240" TargetMode="External"/><Relationship Id="rId41" Type="http://schemas.openxmlformats.org/officeDocument/2006/relationships/hyperlink" Target="http://www.nevo.co.il/case/6002349" TargetMode="External"/><Relationship Id="rId42" Type="http://schemas.openxmlformats.org/officeDocument/2006/relationships/hyperlink" Target="http://www.nevo.co.il/case/17071580" TargetMode="External"/><Relationship Id="rId43" Type="http://schemas.openxmlformats.org/officeDocument/2006/relationships/hyperlink" Target="http://www.nevo.co.il/case/7688113" TargetMode="External"/><Relationship Id="rId44" Type="http://schemas.openxmlformats.org/officeDocument/2006/relationships/hyperlink" Target="http://www.nevo.co.il/law/70301/40i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2017-01-10T13:51:00Z</dcterms:created>
  <dc:creator> </dc:creator>
  <dc:description/>
  <cp:keywords/>
  <dc:language>en-IL</dc:language>
  <cp:lastModifiedBy>Tali-a</cp:lastModifiedBy>
  <dcterms:modified xsi:type="dcterms:W3CDTF">2017-01-10T13:51:00Z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אור שחר</vt:lpwstr>
  </property>
  <property fmtid="{D5CDD505-2E9C-101B-9397-08002B2CF9AE}" pid="4" name="CASESLISTTMP1">
    <vt:lpwstr>5949387;6002349:2;16900220:2;7688113:2;13093721;17023776;17009738;20009883;20923902;16983240;17071580</vt:lpwstr>
  </property>
  <property fmtid="{D5CDD505-2E9C-101B-9397-08002B2CF9AE}" pid="5" name="CITY">
    <vt:lpwstr>י-ם</vt:lpwstr>
  </property>
  <property fmtid="{D5CDD505-2E9C-101B-9397-08002B2CF9AE}" pid="6" name="DATE">
    <vt:lpwstr>20160601</vt:lpwstr>
  </property>
  <property fmtid="{D5CDD505-2E9C-101B-9397-08002B2CF9AE}" pid="7" name="ISABSTRACT">
    <vt:lpwstr>Y</vt:lpwstr>
  </property>
  <property fmtid="{D5CDD505-2E9C-101B-9397-08002B2CF9AE}" pid="8" name="JUDGE">
    <vt:lpwstr>בן ציון גרינברגר</vt:lpwstr>
  </property>
  <property fmtid="{D5CDD505-2E9C-101B-9397-08002B2CF9AE}" pid="9" name="LAWLISTTMP1">
    <vt:lpwstr>70301/029:4;382.a;144.f:3;382a.a;025;452:2;144;40jc;fCa1S;040i;40ja</vt:lpwstr>
  </property>
  <property fmtid="{D5CDD505-2E9C-101B-9397-08002B2CF9AE}" pid="10" name="NEWPARTA">
    <vt:lpwstr>46577</vt:lpwstr>
  </property>
  <property fmtid="{D5CDD505-2E9C-101B-9397-08002B2CF9AE}" pid="11" name="NEWPARTB">
    <vt:lpwstr>04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390020160601</vt:lpwstr>
  </property>
  <property fmtid="{D5CDD505-2E9C-101B-9397-08002B2CF9AE}" pid="17" name="TYPE_N_DATE">
    <vt:lpwstr>39020160601</vt:lpwstr>
  </property>
  <property fmtid="{D5CDD505-2E9C-101B-9397-08002B2CF9AE}" pid="18" name="WORDNUMPAGES">
    <vt:lpwstr>14</vt:lpwstr>
  </property>
</Properties>
</file>