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4664-01-20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אגבאריה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eastAsia="David" w:cs="David"/>
          <w:b/>
          <w:bCs/>
          <w:sz w:val="26"/>
          <w:szCs w:val="26"/>
        </w:rPr>
      </w:pPr>
      <w:r>
        <w:rPr>
          <w:rFonts w:eastAsia="David" w:cs="David" w:ascii="David" w:hAnsi="David"/>
          <w:b/>
          <w:bCs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אברהים בולוס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פרקליטות מחוז חיפה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ליל אגבאריה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  <w:br/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מוחמד סביחאת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16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הסכימו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21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הבכורה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וההרתעה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מרתיעה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היקפה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והתפשטותה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תופעה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מתיישב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ומקובלת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מטעם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בהחלט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מאוזן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וראוי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16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 האישום</w:t>
      </w:r>
    </w:p>
    <w:p>
      <w:pPr>
        <w:pStyle w:val="Normal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הורשע על פי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בעובדות כתב האישום בעבירה של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ניסיון לסחר בנשק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25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hyperlink r:id="rId10"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 –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בתחילת חודש דצמבר </w:t>
      </w:r>
      <w:r>
        <w:rPr>
          <w:rFonts w:cs="David" w:ascii="David" w:hAnsi="David"/>
          <w:sz w:val="24"/>
          <w:szCs w:val="24"/>
        </w:rPr>
        <w:t>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קשר הנאשם קשר עם פריד אסמאעיל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פריד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לסחור בנשקים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באופן שבו פריד ימכור נשקים מסוגים שונים לאחרים בתיווכו של 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אשר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יקבל חלק מהתמורה שתתקבל בגין מכירת הנשקים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הקשר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הקשר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ופריד סיכמו שהעסקאות למכירת הנשקים יבוצעו מול הנאשם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פריד ידאג להעביר לנאשם את הנשקים והנאשם 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עביר את התשלום ממכירתם לפריד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לשם קידום הקשר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4.12.19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נפגשו הנאשם ופריד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וסיכמו שהנאשם ימכור עבור פריד אקדח מסוג יריחו תמורת </w:t>
      </w:r>
      <w:r>
        <w:rPr>
          <w:rFonts w:cs="David" w:ascii="David" w:hAnsi="David"/>
          <w:sz w:val="24"/>
          <w:szCs w:val="24"/>
        </w:rPr>
        <w:t>36,000</w:t>
      </w:r>
      <w:r>
        <w:rPr>
          <w:rFonts w:cs="David" w:ascii="David" w:hAnsi="David"/>
          <w:sz w:val="24"/>
          <w:szCs w:val="24"/>
          <w:rtl w:val="true"/>
        </w:rPr>
        <w:t xml:space="preserve"> ₪,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ואקדח מסוג גלוק תמורת </w:t>
      </w:r>
      <w:r>
        <w:rPr>
          <w:rFonts w:cs="David" w:ascii="David" w:hAnsi="David"/>
          <w:sz w:val="24"/>
          <w:szCs w:val="24"/>
        </w:rPr>
        <w:t>46,000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המכירה לא יצאה לפועל מאחר והאקדחים כבר לא היו ברשותו של פריד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לשם קידום הקשר ובהתאם למה שסוכם במסגרתו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במהלך שיחות טלפון רבות שהתקיימו בין פריד לנאשם בין התאריכים </w:t>
      </w:r>
      <w:r>
        <w:rPr>
          <w:rFonts w:cs="David" w:ascii="David" w:hAnsi="David"/>
          <w:sz w:val="24"/>
          <w:szCs w:val="24"/>
        </w:rPr>
        <w:t>5-8.12.19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פריד הציע לנאשם כי ימכור עבורו כלי נשק שונים וב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ניהם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אקדח מסוג </w:t>
      </w:r>
      <w:r>
        <w:rPr>
          <w:rFonts w:cs="David" w:ascii="David" w:hAnsi="David"/>
          <w:sz w:val="24"/>
          <w:szCs w:val="24"/>
        </w:rPr>
        <w:t>FN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אקדח מסוג יריחו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אקדח מסוג גלוק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תת מקלע עוזי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אקדח מסוג ברטה ורובה סער מסוג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במהלך השיחות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דיברו השניים על מחירי חלק מכלי הנשק והתמקחו עליהם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פריד שלח לנאשם תמונות של כלי נשק אותם הוא מעוניין למכור על מנת שהנאשם יוכל להציגם בפני קונים פוטנציאליים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בהמשך לקשר ובמטרה למכור כלי נשק כמפורט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שלח הנאשם את תמונות כלי הנשק שקיבל מפריד לאחרים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אולם לבסוף המכירה לא יצאה לפועל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במעשיו כמתואר לעיל ניסה בצוותא חדא עם פריד לסחור בנשקים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בלא רשות על פי דין לעשות כן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הסדר הטיעון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בשל העובדה שהנאשם כפר במיוחס לו בכתב האישום נקבעו ישיבות לשמיעת ראיות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בישיבה הראשונה שהתקיימה ביום </w:t>
      </w:r>
      <w:r>
        <w:rPr>
          <w:rFonts w:cs="David" w:ascii="David" w:hAnsi="David"/>
          <w:sz w:val="24"/>
          <w:szCs w:val="24"/>
        </w:rPr>
        <w:t>13.7.20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אשר יועדה לשמיעת ראיות התביעה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שמיעת עדותה של עדת התביעה הראשונה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ביקש היתר לחזור בו מכפירתו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הודה  והורשע במיוחס לו בכתב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כן הצדדים הודיעו כי הגיעו לידי הסדר טיעון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הצדדים הסכימו על טווח ענישה לעניין רכיב המאסר בפועל בלבד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המאשימה תטען להטלת עונש מאסר בפועל למשך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בניכוי ימי המעצר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ואילו  הנאשם להטלת מאסר בפועל למשך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בניכוי ימי המעצר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הוסכם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בנוסף יוטל מאסר על תנאי בהתאם לשיקול דעתו של בית המשפט ולאור טיעוני הצדדים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הראיות לעניין העונש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לדיון התייצבה אמו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עביר אגבאריה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מסרה כי אבי הנאשם מרצה עונש מאסר ובפועל הנאשם הוא אדם אחראי  שעובד ומפרנס את המשפחה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הגיש אישור מאת המוסד לביטוח לאומי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לפיו אמו סובלת מנכות רפואית משמעותית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וגם אישור מאת מעבידתו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חברת בדר אלומיניו</w:t>
      </w:r>
      <w:r>
        <w:rPr>
          <w:rFonts w:ascii="David" w:hAnsi="David" w:cs="David"/>
          <w:sz w:val="24"/>
          <w:sz w:val="24"/>
          <w:szCs w:val="24"/>
          <w:rtl w:val="true"/>
        </w:rPr>
        <w:t>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המאשרת כי הנאשם היה  עובד רציני המלא מוטיבציה אשר התייצב והתמיד בעבודתו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כן הביעה נכונות לחזור ולקלוט אותו אחרי שחרורו ממאסר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טיעוני הצדדים לעונש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בטיעוניו הדגיש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ניסה לשמש כמתווך במכירת נשק לפחות בשתי הזדמנויות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וחלקו היה  מרכזי  באיתור לקוחות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בא בקשר עם גורמים עבריינים אף התמקח איתם באשר למחיר הנשקים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 המחייב הטלת ענישה מרתיעה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עמד על מדיניות הענישה המחמירה בעבירות סחר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הפנה לפסיקה שבעיניו הינה רלוונטית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וטען להשתת מאסר ברף העליון של טווח הענישה המוסכם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 טען רבות כי יש ליתן משקל רב לעובדה שהנאשם עוד ממעצרו שיתף פעולה 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הודה ומסר גרסה מפורטת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לעובדה כי לא נשמעו ראיות בהליך זה בשל הודאת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 שחסך זמן רב לכל המעורבים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עמד בטיעוניו על מצבה הכלכלי הקשה של משפחת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והדגיש כי לפני  מעצרו זה היה הנאשם שעבד ותמך במשפחתו בשל מחלת אמו ומאסר אביו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אף טען כי מדברי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עליהם אעמוד בהמשך הדברים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ברור כי הנאשם הביע חרטה אמיתית וכנה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נטל אחריות  ואף הפנים היטב כי טעה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מכל אלה ותוך הפנייה לפסיקה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עתר להטלת מאסר ברף התחתון של טווח הענישה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דברי הנאשם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הבהיר כי לא יחזור על התנהלות עבריינית ולא יפר את החוק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הביע צער וחרטה והדגיש כי למד לקח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חשוב </w:t>
      </w:r>
      <w:r>
        <w:rPr>
          <w:rFonts w:ascii="David" w:hAnsi="David" w:cs="David"/>
          <w:sz w:val="24"/>
          <w:sz w:val="24"/>
          <w:szCs w:val="24"/>
          <w:rtl w:val="true"/>
        </w:rPr>
        <w:t>לחיים לפיו יש להתרחק מעולם הפשע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גם מסר כי מעולם לא הסתבך עם החוק וביקש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סליחה ורחמים </w:t>
      </w:r>
      <w:r>
        <w:rPr>
          <w:rFonts w:ascii="David" w:hAnsi="David" w:cs="David"/>
          <w:sz w:val="24"/>
          <w:sz w:val="24"/>
          <w:szCs w:val="24"/>
          <w:rtl w:val="true"/>
        </w:rPr>
        <w:t>מבית המשפט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36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בפסיקה קיימת מגמה חדה וברורה לפיה  בעבירות נשק יש ליתן את הבכורה לשיקולי הגמול וההרתעה 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משפט זה עמד לא פעם על החומרה הרבה שבעבירות נשק ועל הפגיעה בערכים המוגנים של שלמות הגוף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חיי אדם ושלום ובטחון הציבור הנפגעים מעבירות אלו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חומרת עבירות אלו גלומה בפונטציאל הנזק הנובע מהן נוכח החשש כי הנשק הנסחר יועבר למי שמתכוון לבצע פעולות עברייניות או פעולות טרור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בית משפט זה נקט בשנים האחרונות במגמה מחמירה כלפי 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ועמד על כך בפסיקתו באופן תדיר</w:t>
      </w:r>
      <w:r>
        <w:rPr>
          <w:rFonts w:cs="David" w:ascii="David" w:hAnsi="David"/>
          <w:rtl w:val="true"/>
        </w:rPr>
        <w:t>".</w:t>
      </w:r>
      <w:r>
        <w:rPr>
          <w:rFonts w:cs="David" w:ascii="David" w:hAnsi="David"/>
          <w:color w:val="000000"/>
          <w:rtl w:val="true"/>
        </w:rPr>
        <w:t xml:space="preserve"> 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971/19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געביס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והאסמכתאות 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11.7.19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360"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 הנשק הן עבירות חמורות המסכנות באופן ניכר את ביטחון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המחייב נקיטה בענישה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מרתיעה וביתר שאת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נוכח </w:t>
      </w:r>
      <w:r>
        <w:rPr>
          <w:rFonts w:ascii="David" w:hAnsi="David"/>
          <w:rtl w:val="true"/>
        </w:rPr>
        <w:t xml:space="preserve">היקפה </w:t>
      </w:r>
      <w:r>
        <w:rPr>
          <w:rFonts w:ascii="David" w:hAnsi="David"/>
          <w:rtl w:val="true"/>
        </w:rPr>
        <w:t>והתפשטותה של תופעה זו</w:t>
      </w:r>
      <w:r>
        <w:rPr>
          <w:rFonts w:cs="David" w:ascii="David" w:hAnsi="David"/>
          <w:rtl w:val="true"/>
        </w:rPr>
        <w:t xml:space="preserve">:" </w:t>
      </w:r>
      <w:r>
        <w:rPr>
          <w:rFonts w:ascii="David" w:hAnsi="David"/>
          <w:b/>
          <w:b/>
          <w:bCs/>
          <w:rtl w:val="true"/>
        </w:rPr>
        <w:t>יש חשיבות בענישה מוחשית של כל אחת ואחת מהחוליות בשרשרת הסחר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כל אחת מאותן חוליות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מוחזקת כמי שמודעת לתוצאות האפשריות הקשות העלולות לנבוע מהשימוש שייעשה בנשק לאחר שיגיע אל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הצרכן הסופי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בקצה השרשרת</w:t>
      </w:r>
      <w:r>
        <w:rPr>
          <w:rFonts w:cs="David" w:ascii="David" w:hAnsi="David"/>
          <w:rtl w:val="true"/>
        </w:rPr>
        <w:t xml:space="preserve">". </w:t>
      </w:r>
      <w:r>
        <w:rPr>
          <w:rFonts w:cs="David" w:ascii="David" w:hAnsi="David"/>
          <w:color w:val="000000"/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בראנסי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color w:val="000000"/>
          <w:rtl w:val="true"/>
        </w:rPr>
        <w:t>פס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16.8.18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ראו גם </w:t>
      </w:r>
      <w:r>
        <w:rPr>
          <w:rFonts w:cs="David" w:ascii="David" w:hAnsi="David"/>
          <w:color w:val="000000"/>
          <w:rtl w:val="true"/>
        </w:rPr>
        <w:t xml:space="preserve">: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רך חסן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05.06.13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;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סלימאן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color w:val="000000"/>
          <w:rtl w:val="true"/>
        </w:rPr>
        <w:t>פס</w:t>
      </w:r>
      <w:r>
        <w:rPr>
          <w:rFonts w:ascii="David" w:hAnsi="David"/>
          <w:color w:val="000000"/>
          <w:rtl w:val="true"/>
        </w:rPr>
        <w:t>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19.4.14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Normal"/>
        <w:spacing w:lineRule="auto" w:line="360" w:before="0" w:after="120"/>
        <w:ind w:start="36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בהתאם לגישה זו </w:t>
      </w:r>
      <w:r>
        <w:rPr>
          <w:rFonts w:cs="David" w:ascii="David" w:hAnsi="David"/>
          <w:color w:val="000000"/>
          <w:rtl w:val="true"/>
        </w:rPr>
        <w:t>: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ברירת המחדל בעבירות נשק היא אפוא מאסר בפועל גם כאשר הנאשם נעדר עבר פלילי</w:t>
      </w:r>
      <w:r>
        <w:rPr>
          <w:rFonts w:cs="David" w:ascii="David" w:hAnsi="David"/>
          <w:color w:val="000000"/>
          <w:rtl w:val="true"/>
        </w:rPr>
        <w:t>"(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אזברגה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18.7.19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 w:before="0" w:after="0"/>
        <w:ind w:hanging="360" w:start="36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באשר לצורך בקביעת מתחם העונש שעה שגובש הסדר טיעון הכולל טווח ענישה אין אחידות דעים בפסיקה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(</w:t>
      </w:r>
      <w:hyperlink r:id="rId17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2524/15</w:t>
        </w:r>
      </w:hyperlink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‏ ‏ </w:t>
      </w:r>
      <w:r>
        <w:rPr>
          <w:rFonts w:ascii="David" w:hAnsi="David"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>איוון שפרנוביץ נ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פסקה </w:t>
      </w:r>
      <w:r>
        <w:rPr>
          <w:rFonts w:eastAsia="Times New Roman" w:cs="David" w:ascii="David" w:hAnsi="David"/>
          <w:color w:val="000000"/>
          <w:sz w:val="24"/>
          <w:szCs w:val="24"/>
        </w:rPr>
        <w:t>18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(</w:t>
      </w:r>
      <w:r>
        <w:rPr>
          <w:rFonts w:eastAsia="Times New Roman" w:cs="David" w:ascii="David" w:hAnsi="David"/>
          <w:color w:val="000000"/>
          <w:sz w:val="24"/>
          <w:szCs w:val="24"/>
        </w:rPr>
        <w:t>8.9.16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);  </w:t>
      </w:r>
      <w:hyperlink r:id="rId18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2454/18</w:t>
        </w:r>
      </w:hyperlink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>עזרא שיינברג נ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פס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color w:val="000000"/>
          <w:sz w:val="24"/>
          <w:szCs w:val="24"/>
        </w:rPr>
        <w:t>19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(</w:t>
      </w:r>
      <w:r>
        <w:rPr>
          <w:rFonts w:eastAsia="Times New Roman" w:cs="David" w:ascii="David" w:hAnsi="David"/>
          <w:color w:val="000000"/>
          <w:sz w:val="24"/>
          <w:szCs w:val="24"/>
        </w:rPr>
        <w:t>2.12.18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); </w:t>
      </w:r>
      <w:hyperlink r:id="rId19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1901/19</w:t>
        </w:r>
      </w:hyperlink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>שמעון אסולין נ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color w:val="000000"/>
          <w:sz w:val="24"/>
          <w:szCs w:val="24"/>
        </w:rPr>
        <w:t>31.5.20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). 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במקרה זה אלך בעקבות הגישה לפיה  אין הצדקה לקביעתו  של מתחם הענישה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ועם זאת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עדיין  לשם בחינת סבירות הסדר הטיעון וגם קביעת העונש ההולם בתוך הטווח המוסכם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יש להידרש למדיניות הענישה הנהוגה ומקובלת</w:t>
      </w:r>
      <w:r>
        <w:rPr>
          <w:rFonts w:cs="Calibri"/>
          <w:rtl w:val="true"/>
        </w:rPr>
        <w:t xml:space="preserve">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(</w:t>
      </w:r>
      <w:hyperlink r:id="rId20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1958/98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 xml:space="preserve">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rtl w:val="true"/>
          </w:rPr>
          <w:t>פלוני נ</w:t>
        </w:r>
        <w:r>
          <w:rPr>
            <w:rStyle w:val="Hyperlink"/>
            <w:rFonts w:eastAsia="Times New Roman" w:cs="David" w:ascii="David" w:hAnsi="David"/>
            <w:b/>
            <w:bCs/>
            <w:color w:val="0000FF"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eastAsia="Times New Roman" w:cs="David"/>
            <w:b/>
            <w:b/>
            <w:bCs/>
            <w:color w:val="0000FF"/>
            <w:sz w:val="24"/>
            <w:sz w:val="24"/>
            <w:szCs w:val="24"/>
            <w:rtl w:val="true"/>
          </w:rPr>
          <w:t>מדינת ישראל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פד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י  נז</w:t>
        </w:r>
      </w:hyperlink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color w:val="000000"/>
          <w:sz w:val="24"/>
          <w:szCs w:val="24"/>
        </w:rPr>
        <w:t>1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) </w:t>
      </w:r>
      <w:r>
        <w:rPr>
          <w:rFonts w:eastAsia="Times New Roman" w:cs="David" w:ascii="David" w:hAnsi="David"/>
          <w:color w:val="000000"/>
          <w:sz w:val="24"/>
          <w:szCs w:val="24"/>
        </w:rPr>
        <w:t>577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eastAsia="Times New Roman" w:cs="David" w:ascii="David" w:hAnsi="David"/>
          <w:color w:val="000000"/>
          <w:sz w:val="24"/>
          <w:szCs w:val="24"/>
        </w:rPr>
        <w:t>609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(</w:t>
      </w:r>
      <w:r>
        <w:rPr>
          <w:rFonts w:eastAsia="Times New Roman" w:cs="David" w:ascii="David" w:hAnsi="David"/>
          <w:color w:val="000000"/>
          <w:sz w:val="24"/>
          <w:szCs w:val="24"/>
        </w:rPr>
        <w:t>25.12.02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) (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להלן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: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עניין </w:t>
      </w:r>
      <w:r>
        <w:rPr>
          <w:rFonts w:ascii="David" w:hAnsi="David"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>פלוני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). </w:t>
      </w:r>
    </w:p>
    <w:p>
      <w:pPr>
        <w:pStyle w:val="ListParagraph"/>
        <w:shd w:fill="FFFFFF" w:val="clear"/>
        <w:spacing w:lineRule="auto" w:line="360" w:before="0" w:after="0"/>
        <w:ind w:start="36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 w:before="0" w:after="0"/>
        <w:ind w:hanging="360" w:start="36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לשם עמידה על מדיניות הענישה עיינתי בפסיקה אליה הפנו הצדדים שברובה רחוקה מבחינת הנסיבות וגם העבירות מענייננו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וגם בפסיקה אשר ביסודה עובדות הדומות למקרה זה שלהלן</w:t>
      </w:r>
      <w:r>
        <w:rPr>
          <w:rFonts w:eastAsia="Times New Roman"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hd w:fill="FFFFFF" w:val="clear"/>
        <w:spacing w:lineRule="auto" w:line="360" w:before="0" w:after="0"/>
        <w:ind w:start="36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ind w:hanging="360" w:start="112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hyperlink r:id="rId21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8207/19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שמעון אליהו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sz w:val="24"/>
          <w:szCs w:val="24"/>
        </w:rPr>
        <w:t>13.7.20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המדובר בנאשם שהורשע על יסוד הודאתו  בשני מקרים בעבירה של סיוע לעסקה אחרת בנשק לפי </w:t>
      </w:r>
      <w:hyperlink r:id="rId22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סע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 xml:space="preserve">'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2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בתוספת סע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hyperlink r:id="rId23"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32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24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הינו צעיר בן </w:t>
      </w:r>
      <w:r>
        <w:rPr>
          <w:rFonts w:eastAsia="Times New Roman" w:cs="David" w:ascii="David" w:hAnsi="David"/>
          <w:sz w:val="24"/>
          <w:szCs w:val="24"/>
        </w:rPr>
        <w:t>34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נעדר כל עבר פלילי  והעונש שנמצא מתאים כלל רכיב של מאסר בפועל בגין שני אישומים למשך </w:t>
      </w:r>
      <w:r>
        <w:rPr>
          <w:rFonts w:eastAsia="Times New Roman" w:cs="David" w:ascii="David" w:hAnsi="David"/>
          <w:sz w:val="24"/>
          <w:szCs w:val="24"/>
        </w:rPr>
        <w:t>18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ערעור שהוגש לביהמ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 העליון נדחה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hd w:fill="FFFFFF" w:val="clear"/>
        <w:spacing w:lineRule="auto" w:line="360" w:before="0" w:after="0"/>
        <w:ind w:start="112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ind w:hanging="360" w:start="112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hyperlink r:id="rId25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מחוזי ירושלים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35608-04-18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פהד רגבי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sz w:val="24"/>
          <w:szCs w:val="24"/>
        </w:rPr>
        <w:t>14.10.18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eastAsia="Times New Roman" w:cs="David" w:ascii="David" w:hAnsi="David"/>
          <w:sz w:val="24"/>
          <w:szCs w:val="24"/>
          <w:rtl w:val="true"/>
        </w:rPr>
        <w:t>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המדובר הוא בנאשם מס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sz w:val="24"/>
          <w:szCs w:val="24"/>
        </w:rPr>
        <w:t>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בכתב האישום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צעיר בן </w:t>
      </w:r>
      <w:r>
        <w:rPr>
          <w:rFonts w:eastAsia="Times New Roman" w:cs="David" w:ascii="David" w:hAnsi="David"/>
          <w:sz w:val="24"/>
          <w:szCs w:val="24"/>
        </w:rPr>
        <w:t>24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ללא עבר פלילי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אשר הורשע על יסוד הודאתו בעבירה של ניסיון לסחר בנשק לפי </w:t>
      </w:r>
      <w:hyperlink r:id="rId26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סע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 xml:space="preserve">'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2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).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במקרה זה הוטל על הנאשם עונש הכולל מאסר בפועל למשך </w:t>
      </w:r>
      <w:r>
        <w:rPr>
          <w:rFonts w:eastAsia="Times New Roman" w:cs="David" w:ascii="David" w:hAnsi="David"/>
          <w:sz w:val="24"/>
          <w:szCs w:val="24"/>
        </w:rPr>
        <w:t>12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ind w:hanging="360" w:start="112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hyperlink r:id="rId27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מחוזי ירושלים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35684-04-18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ראמי ערמין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sz w:val="24"/>
          <w:szCs w:val="24"/>
        </w:rPr>
        <w:t>3.1.19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eastAsia="Times New Roman" w:cs="David" w:ascii="David" w:hAnsi="David"/>
          <w:sz w:val="24"/>
          <w:szCs w:val="24"/>
          <w:rtl w:val="true"/>
        </w:rPr>
        <w:t>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גם במקרה זה  באשר לנאשם מס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eastAsia="Times New Roman" w:cs="David" w:ascii="David" w:hAnsi="David"/>
          <w:sz w:val="24"/>
          <w:szCs w:val="24"/>
        </w:rPr>
        <w:t>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המדובר בצעיר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נעדר עבר פלילי  שהורשע על סמך הודאתו בעבירה של ניסיון לעסקה בנשק לפי </w:t>
      </w:r>
      <w:hyperlink r:id="rId28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סע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 xml:space="preserve">'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2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בצירוף </w:t>
      </w:r>
      <w:hyperlink r:id="rId29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סע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 xml:space="preserve">'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25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30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גם במקרה זה נמצא כי העונש ההולם כולל בחובו מאסר בפועל למשך </w:t>
      </w:r>
      <w:r>
        <w:rPr>
          <w:rFonts w:eastAsia="Times New Roman" w:cs="David" w:ascii="David" w:hAnsi="David"/>
          <w:sz w:val="24"/>
          <w:szCs w:val="24"/>
        </w:rPr>
        <w:t>12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חודשים ויום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ind w:hanging="360" w:start="112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hyperlink r:id="rId31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מחוזי ירושלים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 xml:space="preserve">) 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30972-10-18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' 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אדהם הינדי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sz w:val="24"/>
          <w:szCs w:val="24"/>
        </w:rPr>
        <w:t>13.5.19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eastAsia="Times New Roman" w:cs="David" w:ascii="David" w:hAnsi="David"/>
          <w:sz w:val="24"/>
          <w:szCs w:val="24"/>
          <w:rtl w:val="true"/>
        </w:rPr>
        <w:t>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גם נאשם זה הינו צעיר בשנים אשר לחובתו שתי הרשעות מהעבר הרחוק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הפרעה  לשוטר במילוי תפקידו משנת </w:t>
      </w:r>
      <w:r>
        <w:rPr>
          <w:rFonts w:eastAsia="Times New Roman" w:cs="David" w:ascii="David" w:hAnsi="David"/>
          <w:sz w:val="24"/>
          <w:szCs w:val="24"/>
        </w:rPr>
        <w:t>2010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והצתה משנת </w:t>
      </w:r>
      <w:r>
        <w:rPr>
          <w:rFonts w:eastAsia="Times New Roman" w:cs="David" w:ascii="David" w:hAnsi="David"/>
          <w:sz w:val="24"/>
          <w:szCs w:val="24"/>
        </w:rPr>
        <w:t>2001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לפני </w:t>
      </w:r>
      <w:r>
        <w:rPr>
          <w:rFonts w:eastAsia="Times New Roman" w:cs="David" w:ascii="David" w:hAnsi="David"/>
          <w:sz w:val="24"/>
          <w:szCs w:val="24"/>
        </w:rPr>
        <w:t>18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שנה בהיותו קטין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גם נאשם זה הורשע על יסוד הודאתו בעבירה של ניסיון לעסקה בנשק לפי </w:t>
      </w:r>
      <w:hyperlink r:id="rId32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סע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 xml:space="preserve">'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2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בצירוף </w:t>
      </w:r>
      <w:hyperlink r:id="rId33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סע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 xml:space="preserve">'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25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34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על נאשם זה הוטל עונש הכולל מאסר בפועל למשך </w:t>
      </w:r>
      <w:r>
        <w:rPr>
          <w:rFonts w:eastAsia="Times New Roman" w:cs="David" w:ascii="David" w:hAnsi="David"/>
          <w:sz w:val="24"/>
          <w:szCs w:val="24"/>
        </w:rPr>
        <w:t>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hd w:fill="FFFFFF" w:val="clear"/>
        <w:spacing w:lineRule="auto" w:line="360" w:before="0" w:after="0"/>
        <w:ind w:start="1128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 w:before="0" w:after="0"/>
        <w:ind w:hanging="360" w:start="36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עולה מהאמור כי הסדר הטיעון כן מתיישב עם מדיניות הענישה הנהוגה ומקובלת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מטעם זה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כן 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מהמשקל שיש לייחס </w:t>
      </w:r>
      <w:r>
        <w:rPr>
          <w:rFonts w:ascii="David" w:hAnsi="David" w:cs="David"/>
          <w:sz w:val="24"/>
          <w:sz w:val="24"/>
          <w:szCs w:val="24"/>
          <w:rtl w:val="true"/>
        </w:rPr>
        <w:t>לצפיות הנאשם שמוותר  על זכותו לניהול ההליך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מקבל על עצמו את האחריות למעשיו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בשלב מוקדם של ההליך  דבר הגורם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sz w:val="24"/>
          <w:sz w:val="24"/>
          <w:szCs w:val="24"/>
          <w:rtl w:val="true"/>
        </w:rPr>
        <w:t>חיסכון בזמן ומשאבים</w:t>
      </w:r>
      <w:r>
        <w:rPr>
          <w:rFonts w:cs="David" w:ascii="David" w:hAnsi="David"/>
          <w:sz w:val="24"/>
          <w:szCs w:val="24"/>
          <w:rtl w:val="true"/>
        </w:rPr>
        <w:t>;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כמו כן 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נוכח משקלו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הרב של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אינטרס הציבורי בכיבוד הסדרים ולמעמדה של התביעה אשר חזקה כי בחנה ושקלה את מכלול השיקולים הרלוונטיים  דבר   המחייב יחוס משקל רב לעמדתה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610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–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אני סבור כי הטווח המוסכם הינו בהחלט מאוזן וראוי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hd w:fill="FFFFFF" w:val="clear"/>
        <w:spacing w:lineRule="auto" w:line="360" w:before="0" w:after="0"/>
        <w:ind w:start="36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 w:before="0" w:after="0"/>
        <w:ind w:hanging="360" w:start="36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לעניין קביעת העונש בטווח המוסכם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משקל רב יש לייחס לגילו הצעיר של 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לעובדה כי הינו נעדר כל עבר פלילי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להודאתו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להבעת החרטה ולקיחת האחריות וגם למצבו הכלכלי והמשפחתי המורכב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כל אלה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מבלי שהתעלמתי מחומרת העבירה ונסיבותיה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מטים את הכף לקביעת עונש המתקרב לגבול התחתון של ההסדר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 w:before="0" w:after="0"/>
        <w:ind w:hanging="360" w:start="36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סיכומו של דבר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אני דן את הנאשם לעונשים הבאים</w:t>
      </w:r>
      <w:r>
        <w:rPr>
          <w:rFonts w:eastAsia="Times New Roman" w:cs="David" w:ascii="David" w:hAnsi="David"/>
          <w:sz w:val="24"/>
          <w:szCs w:val="24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hd w:fill="FFFFFF" w:val="clear"/>
        <w:spacing w:lineRule="auto" w:line="360" w:before="0" w:after="0"/>
        <w:ind w:start="36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למאסר בפועל למשך </w:t>
      </w:r>
      <w:r>
        <w:rPr>
          <w:rFonts w:eastAsia="Times New Roman" w:cs="David" w:ascii="David" w:hAnsi="David"/>
          <w:sz w:val="24"/>
          <w:szCs w:val="24"/>
        </w:rPr>
        <w:t>16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 תחילתם מיום מעצרו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hd w:fill="FFFFFF" w:val="clear"/>
        <w:spacing w:lineRule="auto" w:line="360" w:before="0" w:after="0"/>
        <w:ind w:start="36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hd w:fill="FFFFFF" w:val="clear"/>
        <w:spacing w:lineRule="auto" w:line="360" w:before="0" w:after="0"/>
        <w:ind w:start="36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למאסר על תנאי לתקופה של </w:t>
      </w:r>
      <w:r>
        <w:rPr>
          <w:rFonts w:eastAsia="Times New Roman" w:cs="David" w:ascii="David" w:hAnsi="David"/>
          <w:sz w:val="24"/>
          <w:szCs w:val="24"/>
        </w:rPr>
        <w:t>12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חודשים למשך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 משחרורו ממאסר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והתנאי הוא כי הנאשם  לא יעבור עבירה מסוג פשע לפי </w:t>
      </w:r>
      <w:hyperlink r:id="rId35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סע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 xml:space="preserve">'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144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36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ויורשע בגינה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hd w:fill="FFFFFF" w:val="clear"/>
        <w:spacing w:lineRule="auto" w:line="360" w:before="0" w:after="0"/>
        <w:ind w:start="36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hd w:fill="FFFFFF" w:val="clear"/>
        <w:spacing w:lineRule="auto" w:line="360" w:before="0" w:after="0"/>
        <w:ind w:start="36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למאסר על תנאי לתקופה של </w:t>
      </w:r>
      <w:r>
        <w:rPr>
          <w:rFonts w:eastAsia="Times New Roman" w:cs="David" w:ascii="David" w:hAnsi="David"/>
          <w:sz w:val="24"/>
          <w:szCs w:val="24"/>
        </w:rPr>
        <w:t>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חודשים למשך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 משחרורו ממאסר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והתנאי הוא כי הנאשם  לא יעבור עבירה מסוג עוון לפי </w:t>
      </w:r>
      <w:hyperlink r:id="rId37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rtl w:val="true"/>
          </w:rPr>
          <w:t>סע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rtl w:val="true"/>
          </w:rPr>
          <w:t xml:space="preserve">'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</w:rPr>
          <w:t>144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38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ויורשע בגינה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זכות ערעור לבית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המשפט העליון תוך </w:t>
      </w:r>
      <w:r>
        <w:rPr>
          <w:rFonts w:cs="David" w:ascii="David" w:hAnsi="David"/>
          <w:b/>
          <w:bCs/>
          <w:sz w:val="24"/>
          <w:szCs w:val="24"/>
          <w:u w:val="single"/>
        </w:rPr>
        <w:t>45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ימים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חכרוש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bookmarkEnd w:id="10"/>
      <w:r>
        <w:rPr>
          <w:rFonts w:ascii="Arial" w:hAnsi="Arial" w:cs="Arial"/>
          <w:rtl w:val="true"/>
        </w:rPr>
        <w:t xml:space="preserve">סביחאת והנאשם בעצמו באמצעות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vc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אברהים בולוס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4664-01-20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ליל אגבאריה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  <w:lang w:val="en-US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128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lang w:val="en-U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2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25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5430243" TargetMode="External"/><Relationship Id="rId13" Type="http://schemas.openxmlformats.org/officeDocument/2006/relationships/hyperlink" Target="http://www.nevo.co.il/case/23750625" TargetMode="External"/><Relationship Id="rId14" Type="http://schemas.openxmlformats.org/officeDocument/2006/relationships/hyperlink" Target="http://www.nevo.co.il/case/6473037" TargetMode="External"/><Relationship Id="rId15" Type="http://schemas.openxmlformats.org/officeDocument/2006/relationships/hyperlink" Target="http://www.nevo.co.il/case/7791493" TargetMode="External"/><Relationship Id="rId16" Type="http://schemas.openxmlformats.org/officeDocument/2006/relationships/hyperlink" Target="http://www.nevo.co.il/case/25612982" TargetMode="External"/><Relationship Id="rId17" Type="http://schemas.openxmlformats.org/officeDocument/2006/relationships/hyperlink" Target="http://www.nevo.co.il/case/20181627" TargetMode="External"/><Relationship Id="rId18" Type="http://schemas.openxmlformats.org/officeDocument/2006/relationships/hyperlink" Target="http://www.nevo.co.il/case/23825973" TargetMode="External"/><Relationship Id="rId19" Type="http://schemas.openxmlformats.org/officeDocument/2006/relationships/hyperlink" Target="http://www.nevo.co.il/case/25535302" TargetMode="External"/><Relationship Id="rId20" Type="http://schemas.openxmlformats.org/officeDocument/2006/relationships/hyperlink" Target="http://www.nevo.co.il/case/161892" TargetMode="External"/><Relationship Id="rId21" Type="http://schemas.openxmlformats.org/officeDocument/2006/relationships/hyperlink" Target="http://www.nevo.co.il/case/26263927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3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3877165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case/23877236" TargetMode="External"/><Relationship Id="rId28" Type="http://schemas.openxmlformats.org/officeDocument/2006/relationships/hyperlink" Target="http://www.nevo.co.il/law/70301/144.b2" TargetMode="External"/><Relationship Id="rId29" Type="http://schemas.openxmlformats.org/officeDocument/2006/relationships/hyperlink" Target="http://www.nevo.co.il/law/70301/2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5049575" TargetMode="External"/><Relationship Id="rId32" Type="http://schemas.openxmlformats.org/officeDocument/2006/relationships/hyperlink" Target="http://www.nevo.co.il/law/70301/144.b2" TargetMode="External"/><Relationship Id="rId33" Type="http://schemas.openxmlformats.org/officeDocument/2006/relationships/hyperlink" Target="http://www.nevo.co.il/law/70301/25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144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2020-08-09T11:07:00Z</dcterms:created>
  <dc:creator> </dc:creator>
  <dc:description/>
  <cp:keywords/>
  <dc:language>en-IL</dc:language>
  <cp:lastModifiedBy>orly</cp:lastModifiedBy>
  <dcterms:modified xsi:type="dcterms:W3CDTF">2020-08-09T11:07:00Z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ח'ליל אגבאריה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25430243;23750625;6473037;7791493;25612982;20181627;23825973;25535302;161892;26263927;23877165;23877236;25049575</vt:lpwstr>
  </property>
  <property fmtid="{D5CDD505-2E9C-101B-9397-08002B2CF9AE}" pid="9" name="CITY">
    <vt:lpwstr>חי'</vt:lpwstr>
  </property>
  <property fmtid="{D5CDD505-2E9C-101B-9397-08002B2CF9AE}" pid="10" name="DATE">
    <vt:lpwstr>20200722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אברהים בולוס</vt:lpwstr>
  </property>
  <property fmtid="{D5CDD505-2E9C-101B-9397-08002B2CF9AE}" pid="14" name="LAWLISTTMP1">
    <vt:lpwstr>70301/144.b2:5;025:3;029;032;144:2</vt:lpwstr>
  </property>
  <property fmtid="{D5CDD505-2E9C-101B-9397-08002B2CF9AE}" pid="15" name="LAWYER">
    <vt:lpwstr>מוחמד סביחאת;חכרוש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4664</vt:lpwstr>
  </property>
  <property fmtid="{D5CDD505-2E9C-101B-9397-08002B2CF9AE}" pid="23" name="NEWPARTB">
    <vt:lpwstr>01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הסדר טיעון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13800;15822</vt:lpwstr>
  </property>
  <property fmtid="{D5CDD505-2E9C-101B-9397-08002B2CF9AE}" pid="59" name="PADIDATE">
    <vt:lpwstr>20200809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390120200722</vt:lpwstr>
  </property>
  <property fmtid="{D5CDD505-2E9C-101B-9397-08002B2CF9AE}" pid="69" name="TYPE_N_DATE">
    <vt:lpwstr>39020200722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