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4676-09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סנינה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4"/>
        <w:gridCol w:w="3835"/>
        <w:gridCol w:w="3771"/>
      </w:tblGrid>
      <w:tr>
        <w:trPr>
          <w:trHeight w:val="295" w:hRule="atLeast"/>
        </w:trPr>
        <w:tc>
          <w:tcPr>
            <w:tcW w:w="1214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60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חן</w:t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David"/>
                <w:sz w:val="28"/>
                <w:szCs w:val="28"/>
              </w:rPr>
            </w:pPr>
            <w:r>
              <w:rPr>
                <w:rFonts w:ascii="Arial" w:hAnsi="Arial" w:cs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sz w:val="28"/>
                <w:szCs w:val="28"/>
              </w:rPr>
            </w:pPr>
            <w:r>
              <w:rPr>
                <w:rFonts w:cs="David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  <w:p>
            <w:pPr>
              <w:pStyle w:val="Normal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sz w:val="28"/>
                <w:szCs w:val="28"/>
              </w:rPr>
            </w:pPr>
            <w:r>
              <w:rPr>
                <w:rFonts w:cs="David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sz w:val="28"/>
                <w:szCs w:val="28"/>
              </w:rPr>
            </w:pPr>
            <w:r>
              <w:rPr>
                <w:rFonts w:cs="David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sz w:val="28"/>
                <w:szCs w:val="28"/>
              </w:rPr>
            </w:pPr>
            <w:r>
              <w:rPr>
                <w:rFonts w:cs="David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6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835" w:type="dxa"/>
            <w:tcBorders/>
          </w:tcPr>
          <w:p>
            <w:pPr>
              <w:pStyle w:val="Normal"/>
              <w:ind w:end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סנינה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835" w:type="dxa"/>
            <w:tcBorders/>
          </w:tcPr>
          <w:p>
            <w:pPr>
              <w:pStyle w:val="Normal"/>
              <w:ind w:end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שושן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David"/>
          <w:sz w:val="28"/>
          <w:szCs w:val="28"/>
        </w:rPr>
      </w:pPr>
      <w:r>
        <w:rPr>
          <w:rFonts w:cs="David" w:ascii="FrankRuehl" w:hAnsi="FrankRueh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David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36"/>
                <w:szCs w:val="36"/>
                <w:u w:val="single"/>
              </w:rPr>
            </w:pPr>
            <w:r>
              <w:rPr>
                <w:rFonts w:cs="David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David"/>
          <w:sz w:val="28"/>
          <w:szCs w:val="28"/>
        </w:rPr>
      </w:pPr>
      <w:r>
        <w:rPr>
          <w:rFonts w:cs="David" w:ascii="Arial" w:hAnsi="Arial"/>
          <w:sz w:val="28"/>
          <w:szCs w:val="28"/>
          <w:rtl w:val="true"/>
        </w:rPr>
      </w:r>
    </w:p>
    <w:p>
      <w:pPr>
        <w:pStyle w:val="BodyText2"/>
        <w:ind w:end="0"/>
        <w:jc w:val="both"/>
        <w:rPr>
          <w:sz w:val="28"/>
          <w:szCs w:val="28"/>
        </w:rPr>
      </w:pPr>
      <w:bookmarkStart w:id="10" w:name="ABSTRACT_START"/>
      <w:bookmarkEnd w:id="10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27/12/2009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בעטרות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CZ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9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מ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היתר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29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נורמטיבי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לילד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בהיריון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קריטי</w:t>
      </w:r>
      <w:r>
        <w:rPr>
          <w:rFonts w:cs="David"/>
          <w:sz w:val="28"/>
          <w:szCs w:val="28"/>
          <w:rtl w:val="true"/>
        </w:rPr>
        <w:t xml:space="preserve">", </w:t>
      </w:r>
      <w:r>
        <w:rPr>
          <w:rFonts w:cs="David"/>
          <w:sz w:val="28"/>
          <w:sz w:val="28"/>
          <w:szCs w:val="28"/>
          <w:rtl w:val="true"/>
        </w:rPr>
        <w:t>כטענת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ונוכחותו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במחיצתה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הכרחית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בנוסף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לציבור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BodyTextIndent2"/>
        <w:ind w:hanging="0" w:start="0" w:end="0"/>
        <w:jc w:val="both"/>
        <w:rPr>
          <w:rFonts w:cs="David"/>
          <w:sz w:val="24"/>
          <w:szCs w:val="24"/>
          <w:lang w:val="en-IL" w:eastAsia="en-IL"/>
        </w:rPr>
      </w:pPr>
      <w:r>
        <w:rPr>
          <w:rFonts w:cs="David"/>
          <w:sz w:val="24"/>
          <w:szCs w:val="24"/>
          <w:rtl w:val="true"/>
          <w:lang w:val="en-IL" w:eastAsia="en-IL"/>
        </w:rPr>
      </w:r>
    </w:p>
    <w:p>
      <w:pPr>
        <w:pStyle w:val="BodyTextIndent2"/>
        <w:ind w:hanging="0" w:start="0" w:end="0"/>
        <w:jc w:val="both"/>
        <w:rPr>
          <w:sz w:val="24"/>
          <w:szCs w:val="24"/>
          <w:lang w:val="en-IL" w:eastAsia="en-IL"/>
        </w:rPr>
      </w:pPr>
      <w:r>
        <w:rPr>
          <w:sz w:val="24"/>
          <w:szCs w:val="24"/>
          <w:rtl w:val="true"/>
          <w:lang w:val="en-IL" w:eastAsia="en-IL"/>
        </w:rPr>
      </w:r>
    </w:p>
    <w:p>
      <w:pPr>
        <w:pStyle w:val="BodyTextIndent2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דיון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וענישה</w:t>
      </w:r>
    </w:p>
    <w:p>
      <w:pPr>
        <w:pStyle w:val="BodyTextIndent2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hanging="624" w:start="624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BodyTextIndent"/>
        <w:tabs>
          <w:tab w:val="clear" w:pos="720"/>
          <w:tab w:val="left" w:pos="8313" w:leader="none"/>
        </w:tabs>
        <w:ind w:hanging="0" w:start="-51" w:end="-284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b/>
            <w:b/>
            <w:bCs/>
            <w:rtl w:val="true"/>
          </w:rPr>
          <w:t>רעפ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29/3/04</w:t>
      </w:r>
      <w:r>
        <w:rPr>
          <w:rtl w:val="true"/>
        </w:rPr>
        <w:t xml:space="preserve">)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624" w:end="993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624" w:end="993"/>
        <w:jc w:val="both"/>
        <w:rPr>
          <w:rFonts w:cs="FrankRuehl"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הסכנה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הטמונה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החמורה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מצדיקה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הטלת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עבירתו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הראשונה</w:t>
      </w:r>
      <w:r>
        <w:rPr>
          <w:rFonts w:cs="David"/>
          <w:b/>
          <w:bCs/>
          <w:sz w:val="28"/>
          <w:szCs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בבוא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לשקול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לתת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משקל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נכבד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לאינטרס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הציבורי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ולצורך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בכוח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מלבצע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דומות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האישיות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David"/>
          <w:b/>
          <w:bCs/>
          <w:sz w:val="28"/>
          <w:szCs w:val="28"/>
          <w:rtl w:val="true"/>
        </w:rPr>
        <w:t xml:space="preserve">." </w:t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hanging="624" w:start="62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hanging="624" w:start="62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start="-51"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8"/>
            <w:szCs w:val="28"/>
          </w:rPr>
          <w:t>2839/05</w:t>
        </w:r>
      </w:hyperlink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ראיד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קאדר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17/11/2005</w:t>
      </w:r>
      <w:r>
        <w:rPr>
          <w:rFonts w:cs="David"/>
          <w:sz w:val="28"/>
          <w:szCs w:val="28"/>
          <w:rtl w:val="true"/>
        </w:rPr>
        <w:t>)</w:t>
      </w:r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שעסק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>,</w:t>
      </w:r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לוי</w:t>
      </w:r>
      <w:r>
        <w:rPr>
          <w:rFonts w:cs="David"/>
          <w:b/>
          <w:bCs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942" w:leader="none"/>
          <w:tab w:val="left" w:pos="7887" w:leader="none"/>
        </w:tabs>
        <w:ind w:firstLine="51" w:start="624" w:end="993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2" w:leader="none"/>
          <w:tab w:val="left" w:pos="7887" w:leader="none"/>
        </w:tabs>
        <w:spacing w:lineRule="auto" w:line="360"/>
        <w:ind w:firstLine="51" w:start="624" w:end="993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לומר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מסוכנת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התופעה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המתהלכים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ברחובות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כשנשק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בכיסם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ומכאן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לנקוט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הרתעה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לרבים</w:t>
      </w:r>
      <w:r>
        <w:rPr>
          <w:rFonts w:cs="David"/>
          <w:b/>
          <w:bCs/>
          <w:sz w:val="28"/>
          <w:szCs w:val="28"/>
          <w:rtl w:val="true"/>
        </w:rPr>
        <w:t>."</w:t>
      </w:r>
    </w:p>
    <w:p>
      <w:pPr>
        <w:pStyle w:val="Normal"/>
        <w:tabs>
          <w:tab w:val="clear" w:pos="720"/>
          <w:tab w:val="left" w:pos="942" w:leader="none"/>
          <w:tab w:val="left" w:pos="7887" w:leader="none"/>
        </w:tabs>
        <w:spacing w:lineRule="auto" w:line="360"/>
        <w:ind w:firstLine="51" w:start="624" w:end="993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start="-51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start="-51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start="-51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360"/>
        <w:ind w:start="-51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8"/>
            <w:szCs w:val="28"/>
          </w:rPr>
          <w:t>3300/06</w:t>
        </w:r>
      </w:hyperlink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סולטאן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סנינה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10/8/06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ארבל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David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942" w:leader="none"/>
          <w:tab w:val="left" w:pos="7320" w:leader="none"/>
        </w:tabs>
        <w:spacing w:lineRule="auto" w:line="360"/>
        <w:ind w:hanging="624" w:start="624" w:end="993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942" w:leader="none"/>
          <w:tab w:val="left" w:pos="7320" w:leader="none"/>
        </w:tabs>
        <w:spacing w:lineRule="auto" w:line="360"/>
        <w:ind w:hanging="624" w:start="624" w:end="993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rtl w:val="true"/>
        </w:rPr>
        <w:tab/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לטעמי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משקל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הגלום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קטילה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מוחזק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מבלי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פיקוח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מוסדר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הרשויות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המחזיק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נתון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תמיד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שיתפתה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ברגעי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לחץ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ופחד</w:t>
      </w:r>
      <w:r>
        <w:rPr>
          <w:rFonts w:cs="David"/>
          <w:b/>
          <w:bCs/>
          <w:sz w:val="28"/>
          <w:szCs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שנשקף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צריך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להילקח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בחשבון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שמחזיק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בידו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sz w:val="28"/>
          <w:szCs w:val="28"/>
          <w:rtl w:val="true"/>
        </w:rPr>
        <w:t xml:space="preserve">-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מוחזק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למטרת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ביצוען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אחרות</w:t>
      </w:r>
      <w:r>
        <w:rPr>
          <w:rFonts w:cs="David"/>
          <w:b/>
          <w:bCs/>
          <w:sz w:val="28"/>
          <w:szCs w:val="28"/>
          <w:rtl w:val="true"/>
        </w:rPr>
        <w:t xml:space="preserve">." </w:t>
      </w:r>
    </w:p>
    <w:p>
      <w:pPr>
        <w:pStyle w:val="Normal"/>
        <w:tabs>
          <w:tab w:val="clear" w:pos="720"/>
          <w:tab w:val="left" w:pos="942" w:leader="none"/>
          <w:tab w:val="left" w:pos="7320" w:leader="none"/>
        </w:tabs>
        <w:spacing w:lineRule="auto" w:line="360"/>
        <w:ind w:hanging="624" w:start="624" w:end="993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נקודת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איפוא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הנגזרת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ישנם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מסויימות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פחות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8"/>
            <w:szCs w:val="28"/>
          </w:rPr>
          <w:t>9615/09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ישראל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15/3/2010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אקדח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כדין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העונשים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Cs w:val="28"/>
        </w:rPr>
        <w:t>6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כרופא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שפבני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ריקה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הכדורים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נורמטיבי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מסובכת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בפלילים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שהביע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הסנגור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ולפיכך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המידה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לאור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האמור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גוזר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הבאים</w:t>
      </w:r>
      <w:r>
        <w:rPr>
          <w:rFonts w:cs="David"/>
          <w:b/>
          <w:bCs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6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חדשי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</w:p>
    <w:p>
      <w:pPr>
        <w:pStyle w:val="Normal"/>
        <w:spacing w:lineRule="auto" w:line="360"/>
        <w:ind w:start="360" w:end="72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26/5/10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הצופים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eastAsia="David" w:cs="David" w:ascii="David" w:hAnsi="David"/>
          <w:sz w:val="28"/>
          <w:szCs w:val="28"/>
          <w:rtl w:val="true"/>
        </w:rPr>
        <w:t>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1/8/2010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28"/>
          <w:szCs w:val="28"/>
        </w:rPr>
        <w:t>6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סוגיהן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72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אביטל חן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סכום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הפיקדון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יחולט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לטובת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הקנס</w:t>
      </w:r>
      <w:r>
        <w:rPr>
          <w:rFonts w:cs="David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David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00"/>
          <w:szCs w:val="24"/>
          <w:rtl w:val="true"/>
        </w:rPr>
        <w:t>הודעה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למנויים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עריכה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ושינויים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במסמכי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פסיקה</w:t>
      </w:r>
      <w:r>
        <w:rPr>
          <w:rFonts w:cs="David"/>
          <w:color w:val="000000"/>
          <w:szCs w:val="24"/>
          <w:rtl w:val="true"/>
        </w:rPr>
        <w:t xml:space="preserve">, </w:t>
      </w:r>
      <w:r>
        <w:rPr>
          <w:rFonts w:cs="David"/>
          <w:color w:val="000000"/>
          <w:szCs w:val="24"/>
          <w:rtl w:val="true"/>
        </w:rPr>
        <w:t>חקיקה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ועוד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באתר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נבו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 xml:space="preserve">- </w:t>
      </w:r>
      <w:r>
        <w:rPr>
          <w:rFonts w:cs="David"/>
          <w:color w:val="000000"/>
          <w:szCs w:val="24"/>
          <w:rtl w:val="true"/>
        </w:rPr>
        <w:t>הקש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כאן</w:t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/Users/liorb/Downloads/study2025-p2/SH-09-4676-53.doc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4676-09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פרקליטות מחוז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עאמר אבו סנינה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Miriam"/>
      <w:color w:val="auto"/>
      <w:sz w:val="20"/>
      <w:szCs w:val="20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360"/>
      <w:ind w:hanging="624" w:start="624" w:end="0"/>
    </w:pPr>
    <w:rPr>
      <w:rFonts w:cs="David"/>
      <w:sz w:val="28"/>
      <w:szCs w:val="28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David"/>
      <w:szCs w:val="26"/>
    </w:rPr>
  </w:style>
  <w:style w:type="paragraph" w:styleId="BodyText3">
    <w:name w:val="Body Text 3"/>
    <w:basedOn w:val="Normal"/>
    <w:qFormat/>
    <w:pPr>
      <w:spacing w:lineRule="auto" w:line="360"/>
      <w:jc w:val="both"/>
    </w:pPr>
    <w:rPr>
      <w:rFonts w:cs="David"/>
      <w:sz w:val="28"/>
      <w:szCs w:val="28"/>
    </w:rPr>
  </w:style>
  <w:style w:type="paragraph" w:styleId="BodyTextIndent2">
    <w:name w:val="Body Text Indent 2"/>
    <w:basedOn w:val="Normal"/>
    <w:qFormat/>
    <w:pPr>
      <w:spacing w:lineRule="auto" w:line="360"/>
      <w:ind w:firstLine="51" w:start="-51" w:end="0"/>
      <w:jc w:val="both"/>
    </w:pPr>
    <w:rPr>
      <w:rFonts w:cs="David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yperlink" Target="http://www.nevo.co.il/case/5859902" TargetMode="External"/><Relationship Id="rId8" Type="http://schemas.openxmlformats.org/officeDocument/2006/relationships/hyperlink" Target="http://www.nevo.co.il/case/5887664" TargetMode="External"/><Relationship Id="rId9" Type="http://schemas.openxmlformats.org/officeDocument/2006/relationships/hyperlink" Target="http://www.nevo.co.il/case/6156633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2016-09-22T15:11:00Z</dcterms:created>
  <dc:creator> </dc:creator>
  <dc:description/>
  <cp:keywords/>
  <dc:language>en-IL</dc:language>
  <cp:lastModifiedBy>yafit</cp:lastModifiedBy>
  <dcterms:modified xsi:type="dcterms:W3CDTF">2016-09-22T15:11:00Z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EE">
    <vt:lpwstr>עאמר אבו סנינה</vt:lpwstr>
  </property>
  <property fmtid="{D5CDD505-2E9C-101B-9397-08002B2CF9AE}" pid="4" name="CASESLISTTMP1">
    <vt:lpwstr>5852404;5859902;5887664;6156633</vt:lpwstr>
  </property>
  <property fmtid="{D5CDD505-2E9C-101B-9397-08002B2CF9AE}" pid="5" name="CITY">
    <vt:lpwstr>י-ם</vt:lpwstr>
  </property>
  <property fmtid="{D5CDD505-2E9C-101B-9397-08002B2CF9AE}" pid="6" name="DATE">
    <vt:lpwstr>20100325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אביטל חן</vt:lpwstr>
  </property>
  <property fmtid="{D5CDD505-2E9C-101B-9397-08002B2CF9AE}" pid="10" name="LAWLISTTMP1">
    <vt:lpwstr>70301/144.a</vt:lpwstr>
  </property>
  <property fmtid="{D5CDD505-2E9C-101B-9397-08002B2CF9AE}" pid="11" name="LAWYER">
    <vt:lpwstr>שושן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4676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4676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sh 09 4676 53 htm</vt:lpwstr>
  </property>
  <property fmtid="{D5CDD505-2E9C-101B-9397-08002B2CF9AE}" pid="36" name="TYPE">
    <vt:lpwstr>3</vt:lpwstr>
  </property>
  <property fmtid="{D5CDD505-2E9C-101B-9397-08002B2CF9AE}" pid="37" name="TYPE_ABS_DATE">
    <vt:lpwstr>380020100325</vt:lpwstr>
  </property>
  <property fmtid="{D5CDD505-2E9C-101B-9397-08002B2CF9AE}" pid="38" name="TYPE_N_DATE">
    <vt:lpwstr>38020100325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