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47147-11-12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- </w:t>
            </w:r>
            <w:r>
              <w:rPr>
                <w:rFonts w:cs="FrankRuehl"/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br/>
            </w:r>
            <w:r>
              <w:rPr>
                <w:rFonts w:cs="FrankRuehl"/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- </w:t>
            </w:r>
            <w:r>
              <w:rPr>
                <w:rFonts w:cs="FrankRuehl"/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עוה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>–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  <w:br/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  <w:br/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באומן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19.11.12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23:18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משהגיעה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להזדיין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: 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שתתגרשי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/>
          <w:bCs/>
          <w:sz w:val="28"/>
          <w:sz w:val="28"/>
          <w:szCs w:val="28"/>
          <w:rtl w:val="true"/>
        </w:rPr>
        <w:t>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מג</w:t>
      </w:r>
      <w:r>
        <w:rPr>
          <w:rtl w:val="true"/>
        </w:rPr>
        <w:t>י</w:t>
      </w:r>
      <w:r>
        <w:rPr>
          <w:rtl w:val="true"/>
        </w:rPr>
        <w:t>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13609-06-11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ו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16463-05-12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26.6.2012</w:t>
      </w:r>
      <w:r>
        <w:rPr>
          <w:rtl w:val="true"/>
        </w:rPr>
        <w:t xml:space="preserve">).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מציבה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שירוצו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בעבודות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</w:t>
      </w:r>
      <w:r>
        <w:rPr>
          <w:bCs/>
          <w:rtl w:val="true"/>
        </w:rPr>
        <w:t>-</w:t>
      </w:r>
      <w:r>
        <w:rPr>
          <w:bCs/>
        </w:rPr>
        <w:t>10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חודשי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</w:t>
      </w:r>
      <w:r>
        <w:rPr>
          <w:bCs/>
          <w:rtl w:val="true"/>
        </w:rPr>
        <w:t>"</w:t>
      </w:r>
      <w:r>
        <w:rPr>
          <w:bCs/>
          <w:rtl w:val="true"/>
        </w:rPr>
        <w:t>כ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טען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מאחר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לביעורן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5798/11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כוחלני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10/8/11</w:t>
      </w:r>
      <w:r>
        <w:rPr>
          <w:rtl w:val="true"/>
        </w:rPr>
        <w:t>)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4.4.13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הצמידה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19852/13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ילד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שהכחילו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1587/13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6.3.13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טענותיו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בעין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רעייתו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זוגן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בחניקה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;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תחושתה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13609-06-11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25.3.12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19.11.2012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1.7.2013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13609-06-11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1.10.2013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47147-11-12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case/3513615" TargetMode="External"/><Relationship Id="rId16" Type="http://schemas.openxmlformats.org/officeDocument/2006/relationships/hyperlink" Target="http://www.nevo.co.il/case/4384325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032976" TargetMode="External"/><Relationship Id="rId22" Type="http://schemas.openxmlformats.org/officeDocument/2006/relationships/hyperlink" Target="http://www.nevo.co.il/case/6622509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382.b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708621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h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92" TargetMode="External"/><Relationship Id="rId32" Type="http://schemas.openxmlformats.org/officeDocument/2006/relationships/hyperlink" Target="http://www.nevo.co.il/law/70301/380" TargetMode="External"/><Relationship Id="rId33" Type="http://schemas.openxmlformats.org/officeDocument/2006/relationships/hyperlink" Target="http://www.nevo.co.il/law/70301/382.b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3513615" TargetMode="External"/><Relationship Id="rId36" Type="http://schemas.openxmlformats.org/officeDocument/2006/relationships/hyperlink" Target="http://www.nevo.co.il/case/3513615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2020-12-17T12:07:00Z</dcterms:created>
  <dc:creator> </dc:creator>
  <dc:description/>
  <cp:keywords/>
  <dc:language>en-IL</dc:language>
  <cp:lastModifiedBy>hofit</cp:lastModifiedBy>
  <dcterms:modified xsi:type="dcterms:W3CDTF">2020-12-17T12:07:00Z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ProcID=174;133;209&amp;PartA=19852&amp;PartC=13</vt:lpwstr>
  </property>
  <property fmtid="{D5CDD505-2E9C-101B-9397-08002B2CF9AE}" pid="9" name="CASESLISTTMP1">
    <vt:lpwstr>3513615:3;4384325;6032976;6622509;6708621</vt:lpwstr>
  </property>
  <property fmtid="{D5CDD505-2E9C-101B-9397-08002B2CF9AE}" pid="10" name="CITY">
    <vt:lpwstr>רמ'</vt:lpwstr>
  </property>
  <property fmtid="{D5CDD505-2E9C-101B-9397-08002B2CF9AE}" pid="11" name="DATE">
    <vt:lpwstr>20130428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70301/379:2;382.b.1:3;192:2;040b;040c;040i;040h;380</vt:lpwstr>
  </property>
  <property fmtid="{D5CDD505-2E9C-101B-9397-08002B2CF9AE}" pid="16" name="LAWYER">
    <vt:lpwstr>דן באומן;מורן בן דוד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47147</vt:lpwstr>
  </property>
  <property fmtid="{D5CDD505-2E9C-101B-9397-08002B2CF9AE}" pid="23" name="NEWPARTB">
    <vt:lpwstr>11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380020130428</vt:lpwstr>
  </property>
  <property fmtid="{D5CDD505-2E9C-101B-9397-08002B2CF9AE}" pid="35" name="TYPE_N_DATE">
    <vt:lpwstr>38020130428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