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47284-06-18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חסונה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אמסאלם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חסונה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זינאתי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  <w:bookmarkStart w:id="8" w:name="ABSTRACT_START"/>
      <w:bookmarkEnd w:id="8"/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6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נשיאת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"). 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6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נשיאת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חלק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אביזר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3.3.18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הצהריים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משטחי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הפלסטינית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לשטח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443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והאביזרים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620" w:end="0"/>
        <w:jc w:val="both"/>
        <w:rPr>
          <w:rFonts w:ascii="David" w:hAnsi="David" w:cs="David"/>
          <w:color w:val="000000"/>
        </w:rPr>
      </w:pPr>
      <w:bookmarkStart w:id="9" w:name="ABSTRACT_END"/>
      <w:bookmarkEnd w:id="9"/>
      <w:r>
        <w:rPr>
          <w:rFonts w:ascii="David" w:hAnsi="David"/>
          <w:b/>
          <w:b/>
          <w:bCs/>
          <w:color w:val="000000"/>
          <w:rtl w:val="true"/>
        </w:rPr>
        <w:t>רובה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סער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קלצ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ניקוב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ומחסנית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תואמת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המכילה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כדורים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בקוטר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7.62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וקפיץ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קלצ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ניקוב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6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אקדח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חצי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אוטומטי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בול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תוצרת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קליבר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למחסום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ברשותו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ראיות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לעונש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חסונה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אקדמאים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עובדים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במשרד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כועס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ואיננו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שהצליחה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לתפוס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המורחבת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נאמנים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שומרי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יהרסו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הבטיח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יניב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להסלמה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מתועד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ולעיתים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מסתמנת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וביתר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כחלק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שהתקבלה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בענייננו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הסוגים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נשיאה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רובה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הסער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הכנסת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המחסום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בהכנסת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העברייני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למנוע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שנכנס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שהמגמה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שיפוטי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זינאתי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להוסיף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דווקא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סמכותה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שנמצאים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ברחובותיה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ברחובות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מבוססת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אלוליאיה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במסקנות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נכללו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מפורש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ונלקח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מדוקדק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במהותן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מהודאת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להעבירו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אסיר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תומך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ותורם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אינדיקציה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המתחמים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הנחיות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הדרגתי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הקרוב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כתומך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ומטפל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בעצמו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הערכים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נשיאתו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ובנפש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סולברג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בסל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8.3.17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ובכללן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המתגלגל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ביטחונית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פגיעתו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מורגשת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כולו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עיסוק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הדרגתית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המושתים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טומנות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לקיפוח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>, 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ודוק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ופחד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שפגיעתה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17.1.16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7.12.14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קלצ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ניקוב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אוטומטי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הנחיית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פרקליט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9.16</w:t>
      </w:r>
      <w:r>
        <w:rPr>
          <w:color w:val="000000"/>
          <w:rtl w:val="true"/>
        </w:rPr>
        <w:t xml:space="preserve"> "</w:t>
      </w:r>
      <w:r>
        <w:rPr>
          <w:b/>
          <w:b/>
          <w:bCs/>
          <w:color w:val="000000"/>
          <w:rtl w:val="true"/>
        </w:rPr>
        <w:t>מדיניות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ומטעני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חבלה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7.8.16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הפרקליטות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לעתור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מוצא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בהתעלם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שבהנחיית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פרקליט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והגיון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בהנחיה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גבוה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חבלה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5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ותחמושת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להכניסם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לשטח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משטחי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מחסום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מכבים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ובנפש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שהוחזק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תחמושת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מתאימה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למחסום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מוחשי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המוחזק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לכמותו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לתכלית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שלשמה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מוחזק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ולסכנה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color w:val="000000"/>
          <w:rtl w:val="true"/>
        </w:rPr>
        <w:t>(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541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544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)).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בבחינת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מדינות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הענישה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הנוהגת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יש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לתת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הדעת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למגמת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ההחמרה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בענישה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הקיימת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בפסיקת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העליון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לעניין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זה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3336/18</w:t>
        </w:r>
      </w:hyperlink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ישראל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נ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סמארה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rtl w:val="true"/>
          <w:lang w:eastAsia="he-IL"/>
        </w:rPr>
        <w:t>(</w:t>
      </w:r>
      <w:r>
        <w:rPr>
          <w:rFonts w:cs="David" w:ascii="David" w:hAnsi="David"/>
          <w:color w:val="000000"/>
          <w:lang w:eastAsia="he-IL"/>
        </w:rPr>
        <w:t>29.11.18</w:t>
      </w:r>
      <w:r>
        <w:rPr>
          <w:rFonts w:cs="David" w:ascii="David" w:hAnsi="David"/>
          <w:color w:val="000000"/>
          <w:rtl w:val="true"/>
          <w:lang w:eastAsia="he-IL"/>
        </w:rPr>
        <w:t xml:space="preserve">). </w:t>
      </w:r>
      <w:r>
        <w:rPr>
          <w:rFonts w:ascii="David" w:hAnsi="David"/>
          <w:color w:val="000000"/>
          <w:rtl w:val="true"/>
          <w:lang w:eastAsia="he-IL"/>
        </w:rPr>
        <w:t>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נקבעו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הדברים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הבאים</w:t>
      </w:r>
      <w:r>
        <w:rPr>
          <w:rFonts w:cs="David" w:ascii="David" w:hAnsi="David"/>
          <w:color w:val="000000"/>
          <w:rtl w:val="true"/>
          <w:lang w:eastAsia="he-IL"/>
        </w:rPr>
        <w:t xml:space="preserve">: </w:t>
      </w:r>
    </w:p>
    <w:p>
      <w:pPr>
        <w:pStyle w:val="Normal"/>
        <w:spacing w:lineRule="auto" w:line="360" w:before="0" w:after="120"/>
        <w:ind w:start="1416" w:end="1418"/>
        <w:jc w:val="both"/>
        <w:rPr/>
      </w:pP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זה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נקט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בשנים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האחרונות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מגמה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מוצהרת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החמרת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רמת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הענישה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בעבירות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נשק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ועמד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פעמים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רבות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בשורה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ארוכה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פסקי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cs="David" w:ascii="David" w:hAnsi="David"/>
          <w:color w:val="000000"/>
          <w:rtl w:val="true"/>
          <w:lang w:eastAsia="he-IL"/>
        </w:rPr>
        <w:t xml:space="preserve">".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14.9.11</w:t>
      </w:r>
      <w:r>
        <w:rPr>
          <w:rtl w:val="true"/>
        </w:rPr>
        <w:t xml:space="preserve">),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21.2.12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29.11.18</w:t>
      </w:r>
      <w:r>
        <w:rPr>
          <w:rtl w:val="true"/>
        </w:rPr>
        <w:t xml:space="preserve">),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22.2.07</w:t>
      </w:r>
      <w:r>
        <w:rPr>
          <w:rtl w:val="true"/>
        </w:rPr>
        <w:t xml:space="preserve">),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בתחתוניו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29.9.13</w:t>
      </w:r>
      <w:r>
        <w:rPr>
          <w:rtl w:val="true"/>
        </w:rPr>
        <w:t xml:space="preserve">),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8.3.17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להחזיקם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29.11.18</w:t>
      </w:r>
      <w:r>
        <w:rPr>
          <w:rtl w:val="true"/>
        </w:rPr>
        <w:t xml:space="preserve">),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5.4.17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כשלצדו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משוטרים</w:t>
      </w:r>
      <w:r>
        <w:rPr>
          <w:rtl w:val="true"/>
        </w:rPr>
        <w:t xml:space="preserve">.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49416-04-18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אלקרינאוי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22.11.18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9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48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30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במיוחס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מדברי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מתפקד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היטב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לאסירים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ומשתתף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בקבוצות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ההרתעה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בהרתעה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והעדפת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האינטרס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2718/04</w:t>
        </w:r>
      </w:hyperlink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אבו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דאחל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נ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ישראל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rtl w:val="true"/>
          <w:lang w:eastAsia="he-IL"/>
        </w:rPr>
        <w:t>[</w:t>
      </w:r>
      <w:r>
        <w:rPr>
          <w:rFonts w:cs="David" w:ascii="David" w:hAnsi="David"/>
          <w:color w:val="000000"/>
          <w:lang w:eastAsia="he-IL"/>
        </w:rPr>
        <w:t>29.3.04</w:t>
      </w:r>
      <w:r>
        <w:rPr>
          <w:rFonts w:cs="David" w:ascii="David" w:hAnsi="David"/>
          <w:color w:val="000000"/>
          <w:rtl w:val="true"/>
          <w:lang w:eastAsia="he-IL"/>
        </w:rPr>
        <w:t xml:space="preserve">]).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3.6.18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1.1.20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  <w:lang w:eastAsia="he-IL"/>
          </w:rPr>
          <w:t>ה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5483-07-18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יבוטלו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47284-06-18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אמסאלם חסונה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Times New Roman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  <w:b w:val="false"/>
      <w:bCs w:val="false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case/21771409" TargetMode="External"/><Relationship Id="rId11" Type="http://schemas.openxmlformats.org/officeDocument/2006/relationships/hyperlink" Target="http://www.nevo.co.il/case/22006503" TargetMode="External"/><Relationship Id="rId12" Type="http://schemas.openxmlformats.org/officeDocument/2006/relationships/hyperlink" Target="http://www.nevo.co.il/case/7791493" TargetMode="External"/><Relationship Id="rId13" Type="http://schemas.openxmlformats.org/officeDocument/2006/relationships/hyperlink" Target="http://www.nevo.co.il/case/20723375" TargetMode="External"/><Relationship Id="rId14" Type="http://schemas.openxmlformats.org/officeDocument/2006/relationships/hyperlink" Target="http://www.nevo.co.il/case/18086234" TargetMode="External"/><Relationship Id="rId15" Type="http://schemas.openxmlformats.org/officeDocument/2006/relationships/hyperlink" Target="http://www.nevo.co.il/law/70301/40i" TargetMode="External"/><Relationship Id="rId16" Type="http://schemas.openxmlformats.org/officeDocument/2006/relationships/hyperlink" Target="http://www.nevo.co.il/case/24140726" TargetMode="External"/><Relationship Id="rId17" Type="http://schemas.openxmlformats.org/officeDocument/2006/relationships/hyperlink" Target="http://www.nevo.co.il/case/6151556" TargetMode="External"/><Relationship Id="rId18" Type="http://schemas.openxmlformats.org/officeDocument/2006/relationships/hyperlink" Target="http://www.nevo.co.il/case/5878682" TargetMode="External"/><Relationship Id="rId19" Type="http://schemas.openxmlformats.org/officeDocument/2006/relationships/hyperlink" Target="http://www.nevo.co.il/case/24140726" TargetMode="External"/><Relationship Id="rId20" Type="http://schemas.openxmlformats.org/officeDocument/2006/relationships/hyperlink" Target="http://www.nevo.co.il/case/5724364" TargetMode="External"/><Relationship Id="rId21" Type="http://schemas.openxmlformats.org/officeDocument/2006/relationships/hyperlink" Target="http://www.nevo.co.il/case/6949290" TargetMode="External"/><Relationship Id="rId22" Type="http://schemas.openxmlformats.org/officeDocument/2006/relationships/hyperlink" Target="http://www.nevo.co.il/case/22006503" TargetMode="External"/><Relationship Id="rId23" Type="http://schemas.openxmlformats.org/officeDocument/2006/relationships/hyperlink" Target="http://www.nevo.co.il/case/21771409" TargetMode="External"/><Relationship Id="rId24" Type="http://schemas.openxmlformats.org/officeDocument/2006/relationships/hyperlink" Target="http://www.nevo.co.il/case/24269595" TargetMode="External"/><Relationship Id="rId25" Type="http://schemas.openxmlformats.org/officeDocument/2006/relationships/hyperlink" Target="http://www.nevo.co.il/case/20683369" TargetMode="External"/><Relationship Id="rId26" Type="http://schemas.openxmlformats.org/officeDocument/2006/relationships/hyperlink" Target="http://www.nevo.co.il/case/7791493" TargetMode="External"/><Relationship Id="rId27" Type="http://schemas.openxmlformats.org/officeDocument/2006/relationships/hyperlink" Target="http://www.nevo.co.il/case/23892410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case/5852404" TargetMode="External"/><Relationship Id="rId32" Type="http://schemas.openxmlformats.org/officeDocument/2006/relationships/hyperlink" Target="http://www.nevo.co.il/case/24352210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2020-10-08T09:53:00Z</dcterms:created>
  <dc:creator> </dc:creator>
  <dc:description/>
  <cp:keywords/>
  <dc:language>en-IL</dc:language>
  <cp:lastModifiedBy>yafit</cp:lastModifiedBy>
  <dcterms:modified xsi:type="dcterms:W3CDTF">2020-10-08T09:53:00Z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אמסאלם חסונה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21771409:2;22006503:2;7791493:2;20723375;18086234;24140726:2;6151556;5878682;5724364;6949290;24269595;20683369;23892410;5852404;24352210</vt:lpwstr>
  </property>
  <property fmtid="{D5CDD505-2E9C-101B-9397-08002B2CF9AE}" pid="9" name="CITY">
    <vt:lpwstr>מרכז</vt:lpwstr>
  </property>
  <property fmtid="{D5CDD505-2E9C-101B-9397-08002B2CF9AE}" pid="10" name="DATE">
    <vt:lpwstr>20190403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70301/144.b:2;040i;40jc;40ja</vt:lpwstr>
  </property>
  <property fmtid="{D5CDD505-2E9C-101B-9397-08002B2CF9AE}" pid="15" name="LAWYER">
    <vt:lpwstr>יניב בן הרוש;נביל זינאתי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47284</vt:lpwstr>
  </property>
  <property fmtid="{D5CDD505-2E9C-101B-9397-08002B2CF9AE}" pid="22" name="NEWPARTB">
    <vt:lpwstr>06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390020190403</vt:lpwstr>
  </property>
  <property fmtid="{D5CDD505-2E9C-101B-9397-08002B2CF9AE}" pid="34" name="TYPE_N_DATE">
    <vt:lpwstr>39020190403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