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5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4734-12-22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נאסר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שירה מוהר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מחמד נאסר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חוסיין בשארה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שניהם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איהאב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ולי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287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62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bookmarkStart w:id="8" w:name="ABSTRACT_START"/>
      <w:bookmarkEnd w:id="8"/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קרובי משפחה</w:t>
      </w:r>
      <w:r>
        <w:rPr>
          <w:rtl w:val="true"/>
        </w:rPr>
        <w:t xml:space="preserve">, </w:t>
      </w:r>
      <w:r>
        <w:rPr>
          <w:rtl w:val="true"/>
        </w:rPr>
        <w:t>הורשעו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בעבירות הבאות</w:t>
      </w:r>
      <w:r>
        <w:rPr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1</w:t>
      </w:r>
      <w:r>
        <w:rPr>
          <w:rtl w:val="true"/>
        </w:rPr>
        <w:t xml:space="preserve">- </w:t>
      </w:r>
      <w:r>
        <w:rPr>
          <w:rtl w:val="true"/>
        </w:rPr>
        <w:t>נשיאה והובלת  נשק</w:t>
      </w:r>
      <w:r>
        <w:rPr>
          <w:rtl w:val="true"/>
        </w:rPr>
        <w:t xml:space="preserve">, </w:t>
      </w:r>
      <w:r>
        <w:rPr>
          <w:u w:val="single"/>
          <w:rtl w:val="true"/>
        </w:rPr>
        <w:t xml:space="preserve">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רישא ל</w:t>
      </w:r>
      <w:hyperlink r:id="rId1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ירי מנשק חם</w:t>
      </w:r>
      <w:r>
        <w:rPr>
          <w:rtl w:val="true"/>
        </w:rPr>
        <w:t xml:space="preserve">, </w:t>
      </w:r>
      <w:r>
        <w:rPr>
          <w:u w:val="single"/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איומים </w:t>
      </w:r>
      <w:r>
        <w:rPr>
          <w:u w:val="single"/>
          <w:rtl w:val="true"/>
        </w:rPr>
        <w:t xml:space="preserve">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והפרת הוראה חוקית </w:t>
      </w:r>
      <w:r>
        <w:rPr>
          <w:u w:val="single"/>
          <w:rtl w:val="true"/>
        </w:rPr>
        <w:t xml:space="preserve">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287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לחוק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bookmarkStart w:id="9" w:name="ABSTRACT_END"/>
      <w:bookmarkEnd w:id="9"/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2</w:t>
      </w:r>
      <w:r>
        <w:rPr>
          <w:rtl w:val="true"/>
        </w:rPr>
        <w:t xml:space="preserve"> - </w:t>
      </w:r>
      <w:r>
        <w:rPr>
          <w:rtl w:val="true"/>
        </w:rPr>
        <w:t>סיוע לנשיאה והובלת  נשק</w:t>
      </w:r>
      <w:r>
        <w:rPr>
          <w:rtl w:val="true"/>
        </w:rPr>
        <w:t xml:space="preserve">, </w:t>
      </w:r>
      <w:r>
        <w:rPr>
          <w:u w:val="single"/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רישא </w:t>
      </w:r>
      <w:hyperlink r:id="rId18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לחוק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סיוע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לירי מנשק חם</w:t>
      </w:r>
      <w:r>
        <w:rPr>
          <w:rtl w:val="true"/>
        </w:rPr>
        <w:t xml:space="preserve">, </w:t>
      </w:r>
      <w:r>
        <w:rPr>
          <w:u w:val="single"/>
          <w:rtl w:val="true"/>
        </w:rPr>
        <w:t xml:space="preserve">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לחוק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 xml:space="preserve">והפרת הוראה חוקית </w:t>
      </w:r>
      <w:r>
        <w:rPr>
          <w:u w:val="single"/>
          <w:rtl w:val="true"/>
        </w:rPr>
        <w:t xml:space="preserve">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287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לחוק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 נהיגה בקלות ראש</w:t>
      </w:r>
      <w:r>
        <w:rPr>
          <w:rtl w:val="true"/>
        </w:rPr>
        <w:t xml:space="preserve">, </w:t>
      </w:r>
      <w:r>
        <w:rPr>
          <w:u w:val="single"/>
          <w:rtl w:val="true"/>
        </w:rPr>
        <w:t xml:space="preserve">עבירה 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פקודת התעבורה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[</w:t>
      </w:r>
      <w:r>
        <w:rPr>
          <w:u w:val="single"/>
          <w:rtl w:val="true"/>
        </w:rPr>
        <w:t>נוסח חדש</w:t>
      </w:r>
      <w:r>
        <w:rPr>
          <w:u w:val="single"/>
          <w:rtl w:val="true"/>
        </w:rPr>
        <w:t xml:space="preserve">] </w:t>
      </w:r>
      <w:r>
        <w:rPr>
          <w:u w:val="single"/>
          <w:rtl w:val="true"/>
        </w:rPr>
        <w:t>תשכ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א</w:t>
      </w:r>
      <w:r>
        <w:rPr>
          <w:u w:val="single"/>
          <w:rtl w:val="true"/>
        </w:rPr>
        <w:t>-</w:t>
      </w:r>
      <w:r>
        <w:rPr>
          <w:u w:val="single"/>
        </w:rPr>
        <w:t>1961</w:t>
      </w:r>
      <w:r>
        <w:rPr>
          <w:u w:val="single"/>
          <w:rtl w:val="true"/>
        </w:rPr>
        <w:t>.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בין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לחמודי בשארה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חמודי</w:t>
      </w:r>
      <w:r>
        <w:rPr>
          <w:rtl w:val="true"/>
        </w:rPr>
        <w:t xml:space="preserve">") </w:t>
      </w:r>
      <w:r>
        <w:rPr>
          <w:rtl w:val="true"/>
        </w:rPr>
        <w:t>התגלע סכסוך כספי</w:t>
      </w:r>
      <w:r>
        <w:rPr>
          <w:rtl w:val="true"/>
        </w:rPr>
        <w:t xml:space="preserve">. </w:t>
      </w:r>
      <w:r>
        <w:rPr>
          <w:rtl w:val="true"/>
        </w:rPr>
        <w:t>במועד הרלוונטי לכתב האישום שהו הנאשמים</w:t>
      </w:r>
      <w:r>
        <w:rPr>
          <w:rtl w:val="true"/>
        </w:rPr>
        <w:t xml:space="preserve">, </w:t>
      </w:r>
      <w:r>
        <w:rPr>
          <w:rtl w:val="true"/>
        </w:rPr>
        <w:t>בני דודים</w:t>
      </w:r>
      <w:r>
        <w:rPr>
          <w:rtl w:val="true"/>
        </w:rPr>
        <w:t xml:space="preserve">, </w:t>
      </w:r>
      <w:r>
        <w:rPr>
          <w:rtl w:val="true"/>
        </w:rPr>
        <w:t>מתוקף החלטת 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בתנאי מעצר בית לילי בביתם בטירה בין השעות </w:t>
      </w:r>
      <w:r>
        <w:rPr/>
        <w:t>23:00-06:00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16.11.22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4:00</w:t>
      </w:r>
      <w:r>
        <w:rPr>
          <w:rtl w:val="true"/>
        </w:rPr>
        <w:t xml:space="preserve">, </w:t>
      </w:r>
      <w:r>
        <w:rPr>
          <w:rtl w:val="true"/>
        </w:rPr>
        <w:t xml:space="preserve">התקשר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לחמודי ואיים עליו בין היתר כי </w:t>
      </w:r>
      <w:r>
        <w:rPr>
          <w:rtl w:val="true"/>
        </w:rPr>
        <w:t>"</w:t>
      </w:r>
      <w:r>
        <w:rPr>
          <w:rtl w:val="true"/>
        </w:rPr>
        <w:t>יקבל את הנקמה שלו</w:t>
      </w:r>
      <w:r>
        <w:rPr>
          <w:rtl w:val="true"/>
        </w:rPr>
        <w:t xml:space="preserve">", </w:t>
      </w:r>
      <w:r>
        <w:rPr>
          <w:rtl w:val="true"/>
        </w:rPr>
        <w:t>וכי יירו על ביתו בשעה הקרובה</w:t>
      </w:r>
      <w:r>
        <w:rPr>
          <w:rtl w:val="true"/>
        </w:rPr>
        <w:t xml:space="preserve">. </w:t>
      </w:r>
      <w:r>
        <w:rPr>
          <w:rtl w:val="true"/>
        </w:rPr>
        <w:t>בסמוך לאחר מכן</w:t>
      </w:r>
      <w:r>
        <w:rPr>
          <w:rtl w:val="true"/>
        </w:rPr>
        <w:t xml:space="preserve">, </w:t>
      </w:r>
      <w:r>
        <w:rPr>
          <w:rtl w:val="true"/>
        </w:rPr>
        <w:t>נסעו הנאשמים ברכב</w:t>
      </w:r>
      <w:r>
        <w:rPr>
          <w:rtl w:val="true"/>
        </w:rPr>
        <w:t xml:space="preserve">, </w:t>
      </w:r>
      <w:r>
        <w:rPr>
          <w:rtl w:val="true"/>
        </w:rPr>
        <w:t>שבלוחית הרישוי שלו הוסתרה ע</w:t>
      </w:r>
      <w:r>
        <w:rPr>
          <w:rtl w:val="true"/>
        </w:rPr>
        <w:t>"</w:t>
      </w:r>
      <w:r>
        <w:rPr>
          <w:rtl w:val="true"/>
        </w:rPr>
        <w:t>י הנאשמים או מי מטעמם</w:t>
      </w:r>
      <w:r>
        <w:rPr>
          <w:rtl w:val="true"/>
        </w:rPr>
        <w:t xml:space="preserve">, </w:t>
      </w:r>
      <w:r>
        <w:rPr>
          <w:rtl w:val="true"/>
        </w:rPr>
        <w:t>הספרה האמצעית</w:t>
      </w:r>
      <w:r>
        <w:rPr>
          <w:rtl w:val="true"/>
        </w:rPr>
        <w:t xml:space="preserve">, </w:t>
      </w:r>
      <w:r>
        <w:rPr>
          <w:rtl w:val="true"/>
        </w:rPr>
        <w:t>כשהם מובילים ברכב נשק מסוג קלצ</w:t>
      </w:r>
      <w:r>
        <w:rPr>
          <w:rtl w:val="true"/>
        </w:rPr>
        <w:t>'</w:t>
      </w:r>
      <w:r>
        <w:rPr>
          <w:rtl w:val="true"/>
        </w:rPr>
        <w:t>ניקוב ומחסנית טעונה ב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לבית אביו של חמודי בעיר טירה</w:t>
      </w:r>
      <w:r>
        <w:rPr>
          <w:rtl w:val="true"/>
        </w:rPr>
        <w:t xml:space="preserve">. </w:t>
      </w:r>
      <w:r>
        <w:rPr>
          <w:rtl w:val="true"/>
        </w:rPr>
        <w:t>בהגיעם לבית האב ירו לעבר ביתו וגרמו נזק לקירות ושער הבית</w:t>
      </w:r>
      <w:r>
        <w:rPr>
          <w:rtl w:val="true"/>
        </w:rPr>
        <w:t xml:space="preserve">. </w:t>
      </w:r>
      <w:r>
        <w:rPr>
          <w:rtl w:val="true"/>
        </w:rPr>
        <w:t>הנאשמים המשיכו בנסיעתם</w:t>
      </w:r>
      <w:r>
        <w:rPr>
          <w:rtl w:val="true"/>
        </w:rPr>
        <w:t xml:space="preserve">, </w:t>
      </w:r>
      <w:r>
        <w:rPr>
          <w:rtl w:val="true"/>
        </w:rPr>
        <w:t>וסמוך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04:45</w:t>
      </w:r>
      <w:r>
        <w:rPr>
          <w:rtl w:val="true"/>
        </w:rPr>
        <w:t xml:space="preserve"> </w:t>
      </w:r>
      <w:r>
        <w:rPr>
          <w:rtl w:val="true"/>
        </w:rPr>
        <w:t>הגיעו לביתו של חמודי</w:t>
      </w:r>
      <w:r>
        <w:rPr>
          <w:rtl w:val="true"/>
        </w:rPr>
        <w:t xml:space="preserve">, </w:t>
      </w:r>
      <w:r>
        <w:rPr>
          <w:rtl w:val="true"/>
        </w:rPr>
        <w:t>משהבחינו ברכב משטרה שחנה בסמוך</w:t>
      </w:r>
      <w:r>
        <w:rPr>
          <w:rtl w:val="true"/>
        </w:rPr>
        <w:t xml:space="preserve">, </w:t>
      </w:r>
      <w:r>
        <w:rPr>
          <w:rtl w:val="true"/>
        </w:rPr>
        <w:t>נמלטו מהמקום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נסעו השוטרים ברכב אחרי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שהאיצו את מהירות נסיעתם עד שהגיעו בסמוך לביתו של 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יצא מהרכב</w:t>
      </w:r>
      <w:r>
        <w:rPr>
          <w:rtl w:val="true"/>
        </w:rPr>
        <w:t xml:space="preserve">, </w:t>
      </w:r>
      <w:r>
        <w:rPr>
          <w:rtl w:val="true"/>
        </w:rPr>
        <w:t>השליך את הנשק בקרבת מקום</w:t>
      </w:r>
      <w:r>
        <w:rPr>
          <w:rtl w:val="true"/>
        </w:rPr>
        <w:t xml:space="preserve">, </w:t>
      </w:r>
      <w:r>
        <w:rPr>
          <w:rtl w:val="true"/>
        </w:rPr>
        <w:t>רץ לעבר ביתו ונתפס ע</w:t>
      </w:r>
      <w:r>
        <w:rPr>
          <w:rtl w:val="true"/>
        </w:rPr>
        <w:t>"</w:t>
      </w:r>
      <w:r>
        <w:rPr>
          <w:rtl w:val="true"/>
        </w:rPr>
        <w:t>י השוטרים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המשיך בנסיעה ברכב</w:t>
      </w:r>
      <w:r>
        <w:rPr>
          <w:rtl w:val="true"/>
        </w:rPr>
        <w:t xml:space="preserve">, </w:t>
      </w:r>
      <w:r>
        <w:rPr>
          <w:rtl w:val="true"/>
        </w:rPr>
        <w:t>יצא ממנו כעבור מספר מטרים והתחבא בבית נטוש סמוך עד שנתפס ע</w:t>
      </w:r>
      <w:r>
        <w:rPr>
          <w:rtl w:val="true"/>
        </w:rPr>
        <w:t>"</w:t>
      </w:r>
      <w:r>
        <w:rPr>
          <w:rtl w:val="true"/>
        </w:rPr>
        <w:t>י השוטרים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במעשים אלו מיוחסים לנאשם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 נשק וירי באמצעותו לעבר בית אביו של חמודי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איומים כלפי חמודי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ולנאשם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סיוע לנשיאת הנשק והירי ונהיגה בקלות ראש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כששניהם הפרו את תנאי מעצר הבית בהם היו נתונים</w:t>
      </w:r>
      <w:r>
        <w:rPr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ביום </w:t>
      </w:r>
      <w:r>
        <w:rPr/>
        <w:t>29.5.23</w:t>
      </w:r>
      <w:r>
        <w:rPr>
          <w:rtl w:val="true"/>
        </w:rPr>
        <w:t xml:space="preserve"> </w:t>
      </w:r>
      <w:r>
        <w:rPr>
          <w:rtl w:val="true"/>
        </w:rPr>
        <w:t>הגיעו הצדדים להסדר טיעון</w:t>
      </w:r>
      <w:r>
        <w:rPr>
          <w:rtl w:val="true"/>
        </w:rPr>
        <w:t xml:space="preserve">, </w:t>
      </w:r>
      <w:r>
        <w:rPr>
          <w:rtl w:val="true"/>
        </w:rPr>
        <w:t>לפיו הורשעו הנאשמים</w:t>
      </w:r>
      <w:r>
        <w:rPr>
          <w:rtl w:val="true"/>
        </w:rPr>
        <w:t xml:space="preserve">, </w:t>
      </w:r>
      <w:r>
        <w:rPr>
          <w:rtl w:val="true"/>
        </w:rPr>
        <w:t>על יסוד הודאתם</w:t>
      </w:r>
      <w:r>
        <w:rPr>
          <w:rtl w:val="true"/>
        </w:rPr>
        <w:t xml:space="preserve">, </w:t>
      </w:r>
      <w:r>
        <w:rPr>
          <w:rtl w:val="true"/>
        </w:rPr>
        <w:t>במיוחס להם בכתב האישום המתוקן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הצהירה כי תעתור בעניין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לעונש ראוי של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 מאסר וענישה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ולנאשם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פחות ממחצית העונש שיוטל על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וענישה נלווית</w:t>
      </w:r>
      <w:r>
        <w:rPr>
          <w:rtl w:val="true"/>
        </w:rPr>
        <w:t xml:space="preserve">, </w:t>
      </w:r>
      <w:r>
        <w:rPr>
          <w:rtl w:val="true"/>
        </w:rPr>
        <w:t>ההגנה חופשיה בטיעוניה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מיטל אילן</w:t>
      </w:r>
      <w:r>
        <w:rPr>
          <w:rtl w:val="true"/>
        </w:rPr>
        <w:t xml:space="preserve">,  </w:t>
      </w:r>
      <w:r>
        <w:rPr>
          <w:rtl w:val="true"/>
        </w:rPr>
        <w:t xml:space="preserve">עמדה בטיעוניה על החומרה המיוחדת שבמעשי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ועל הרקע למעשיו</w:t>
      </w:r>
      <w:r>
        <w:rPr>
          <w:rtl w:val="true"/>
        </w:rPr>
        <w:t xml:space="preserve">, </w:t>
      </w:r>
      <w:r>
        <w:rPr>
          <w:rtl w:val="true"/>
        </w:rPr>
        <w:t>סכסוך כספי עם המתלונן</w:t>
      </w:r>
      <w:r>
        <w:rPr>
          <w:rtl w:val="true"/>
        </w:rPr>
        <w:t xml:space="preserve">. </w:t>
      </w:r>
      <w:r>
        <w:rPr>
          <w:rtl w:val="true"/>
        </w:rPr>
        <w:t>עוד סבורה שפגיעת המעשים בערכים המוגנים של שלום הציבור ובטחונו</w:t>
      </w:r>
      <w:r>
        <w:rPr>
          <w:rtl w:val="true"/>
        </w:rPr>
        <w:t xml:space="preserve">,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המאשימה הדגישה את תכנון המעשים</w:t>
      </w:r>
      <w:r>
        <w:rPr>
          <w:rtl w:val="true"/>
        </w:rPr>
        <w:t xml:space="preserve">, </w:t>
      </w:r>
      <w:r>
        <w:rPr>
          <w:rtl w:val="true"/>
        </w:rPr>
        <w:t>הצטיידות בנשק</w:t>
      </w:r>
      <w:r>
        <w:rPr>
          <w:rtl w:val="true"/>
        </w:rPr>
        <w:t xml:space="preserve">, </w:t>
      </w:r>
      <w:r>
        <w:rPr>
          <w:rtl w:val="true"/>
        </w:rPr>
        <w:t>האיומים המקדימים והירי לעבר בית מגורים בשעת בוקר מוקדמת</w:t>
      </w:r>
      <w:r>
        <w:rPr>
          <w:rtl w:val="true"/>
        </w:rPr>
        <w:t xml:space="preserve">, </w:t>
      </w:r>
      <w:r>
        <w:rPr>
          <w:rtl w:val="true"/>
        </w:rPr>
        <w:t>תוך הפרה בוטה של תנאים מגבילים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עותרת בעניין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למתחם ענישה שנע בין </w:t>
      </w:r>
      <w:r>
        <w:rPr/>
        <w:t>4-8</w:t>
      </w:r>
      <w:r>
        <w:rPr>
          <w:rtl w:val="true"/>
        </w:rPr>
        <w:t xml:space="preserve"> </w:t>
      </w:r>
      <w:r>
        <w:rPr>
          <w:rtl w:val="true"/>
        </w:rPr>
        <w:t>שנות מאסר ומבקשת למקם את עונשו במרכז המתחם נוכח עברו הפלילי בעבירות אלימות ונשק והעדר סיכויי שיקום</w:t>
      </w:r>
      <w:r>
        <w:rPr>
          <w:rtl w:val="true"/>
        </w:rPr>
        <w:t xml:space="preserve">. </w:t>
      </w:r>
      <w:r>
        <w:rPr>
          <w:rtl w:val="true"/>
        </w:rPr>
        <w:t xml:space="preserve">אשר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נטען כי עברו הפלילי כולל עבירות אלימות ורכוש אך לא 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על כן יש מקום לגזור עליו עונש הקרוב למחצית עונשו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וענישה נלווית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שנפגע העבירה לא היה מעוניין להגיש הצהרת נפגע ומסר שהוא ומשפחתו מצויים בטראומה מאז אירוע הירי וחוששים לחייהם</w:t>
      </w:r>
      <w:r>
        <w:rPr>
          <w:rtl w:val="true"/>
        </w:rPr>
        <w:t xml:space="preserve">, </w:t>
      </w:r>
      <w:r>
        <w:rPr>
          <w:rtl w:val="true"/>
        </w:rPr>
        <w:t>וביקש להחמיר עם הנאשמים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</w:t>
      </w:r>
      <w:r>
        <w:rPr>
          <w:rtl w:val="true"/>
        </w:rPr>
        <w:t xml:space="preserve">, </w:t>
      </w:r>
      <w:r>
        <w:rPr>
          <w:rtl w:val="true"/>
        </w:rPr>
        <w:t>ביקש להתחשב בהודאת הנאשמים ולגזור עליהם עונשים מתונים</w:t>
      </w:r>
      <w:r>
        <w:rPr>
          <w:rtl w:val="true"/>
        </w:rPr>
        <w:t xml:space="preserve">. </w:t>
      </w:r>
      <w:r>
        <w:rPr>
          <w:rtl w:val="true"/>
        </w:rPr>
        <w:t>לדבריו לא מדובר במעשה מתוכנן</w:t>
      </w:r>
      <w:r>
        <w:rPr>
          <w:rtl w:val="true"/>
        </w:rPr>
        <w:t xml:space="preserve">, </w:t>
      </w:r>
      <w:r>
        <w:rPr>
          <w:rtl w:val="true"/>
        </w:rPr>
        <w:t xml:space="preserve">והסכסוך החל בשל איומים של נפגע העבירה כלפי נאשם </w:t>
      </w:r>
      <w:r>
        <w:rPr/>
        <w:t>1</w:t>
      </w:r>
      <w:r>
        <w:rPr>
          <w:rtl w:val="true"/>
        </w:rPr>
        <w:t xml:space="preserve">.  </w:t>
      </w:r>
      <w:r>
        <w:rPr>
          <w:rtl w:val="true"/>
        </w:rPr>
        <w:t>עוד נטען שלא הייתה לנאשמים כוונה לפגוע בנפש</w:t>
      </w:r>
      <w:r>
        <w:rPr>
          <w:rtl w:val="true"/>
        </w:rPr>
        <w:t xml:space="preserve">, </w:t>
      </w:r>
      <w:r>
        <w:rPr>
          <w:rtl w:val="true"/>
        </w:rPr>
        <w:t>הם עצורים תקופה ממושכת</w:t>
      </w:r>
      <w:r>
        <w:rPr>
          <w:rtl w:val="true"/>
        </w:rPr>
        <w:t xml:space="preserve">, </w:t>
      </w:r>
      <w:r>
        <w:rPr>
          <w:rtl w:val="true"/>
        </w:rPr>
        <w:t>לשניהם נולדו ילדים בזמן מעצרם וניהלו חיים נורמטיביים טרם מעצרם</w:t>
      </w:r>
      <w:r>
        <w:rPr>
          <w:rtl w:val="true"/>
        </w:rPr>
        <w:t xml:space="preserve">. </w:t>
      </w:r>
      <w:r>
        <w:rPr>
          <w:rtl w:val="true"/>
        </w:rPr>
        <w:t xml:space="preserve">אשר על כן ביקש לקבוע ביחס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מתחם ענישה שנע בין שנתיים לשלוש 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ולנאשם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מתחם ענישה הנע בין שנה 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הנאשמים הביעו חרטה על מעשיהם וביקשו להתחשב בהם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עתירת המאשימה לעונש ראוי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אינה פוטרת את בית המשפט מקביעת מתחם עונש הולם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ruller40"/>
        <w:numPr>
          <w:ilvl w:val="0"/>
          <w:numId w:val="3"/>
        </w:numPr>
        <w:bidi w:val="1"/>
        <w:spacing w:lineRule="atLeast" w:line="360" w:before="0" w:after="0"/>
        <w:ind w:hanging="360" w:start="720" w:end="0"/>
        <w:jc w:val="both"/>
        <w:rPr>
          <w:rFonts w:ascii="David" w:hAnsi="David" w:cs="David"/>
          <w:color w:val="000000"/>
          <w:spacing w:val="10"/>
        </w:rPr>
      </w:pPr>
      <w:r>
        <w:rPr>
          <w:rFonts w:cs="David"/>
          <w:rtl w:val="true"/>
        </w:rPr>
        <w:t>בשורה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הגלומה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ומ</w:t>
      </w:r>
      <w:r>
        <w:rPr>
          <w:rFonts w:cs="David"/>
          <w:rtl w:val="true"/>
        </w:rPr>
        <w:t>הוות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ולביטחונו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בתופעה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ניכרת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להרתעת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Fonts w:cs="David"/>
          <w:rtl w:val="true"/>
        </w:rPr>
        <w:t xml:space="preserve">,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David" w:hAnsi="David" w:eastAsia="Calibri" w:cs="David"/>
          <w:b/>
          <w:b/>
          <w:bCs/>
          <w:rtl w:val="true"/>
        </w:rPr>
        <w:t>ההלכה כי בעת גזירת עונשו של מי שהורשע בעבירות נשק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 w:cs="David"/>
          <w:b/>
          <w:b/>
          <w:bCs/>
          <w:rtl w:val="true"/>
        </w:rPr>
        <w:t>על בית המשפט לבכר את האינטרס הציבורי שבהרתעת הרבים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 w:cs="David"/>
          <w:b/>
          <w:b/>
          <w:bCs/>
          <w:rtl w:val="true"/>
        </w:rPr>
        <w:t>על פני נסיבותיו האישיות של הנידון</w:t>
      </w:r>
      <w:r>
        <w:rPr>
          <w:rFonts w:eastAsia="Calibri" w:cs="David" w:ascii="David" w:hAnsi="David"/>
          <w:rtl w:val="true"/>
        </w:rPr>
        <w:t>" (</w:t>
      </w:r>
      <w:hyperlink r:id="rId24"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b/>
          <w:b/>
          <w:bCs/>
          <w:rtl w:val="true"/>
        </w:rPr>
        <w:t>עדאב אבו נאעסה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 w:cs="David"/>
          <w:b/>
          <w:b/>
          <w:bCs/>
          <w:rtl w:val="true"/>
        </w:rPr>
        <w:t>מדינת ישראל</w:t>
      </w:r>
      <w:r>
        <w:rPr>
          <w:rFonts w:ascii="David" w:hAnsi="David" w:eastAsia="Calibri" w:cs="David"/>
          <w:rtl w:val="true"/>
        </w:rPr>
        <w:t xml:space="preserve"> 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22.5.2022</w:t>
      </w:r>
      <w:r>
        <w:rPr>
          <w:rFonts w:eastAsia="Calibri" w:cs="David" w:ascii="David" w:hAnsi="David"/>
          <w:rtl w:val="true"/>
        </w:rPr>
        <w:t xml:space="preserve">)) </w:t>
      </w:r>
      <w:r>
        <w:rPr>
          <w:rFonts w:cs="David" w:ascii="David" w:hAnsi="David"/>
          <w:rtl w:val="true"/>
        </w:rPr>
        <w:t>(</w:t>
      </w:r>
      <w:hyperlink r:id="rId25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אחמד 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פסקה </w:t>
      </w:r>
      <w:r>
        <w:rPr>
          <w:rFonts w:cs="David" w:ascii="David" w:hAnsi="David"/>
        </w:rPr>
        <w:t>5-6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); </w:t>
      </w:r>
      <w:hyperlink r:id="rId26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5813/21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מוחמד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 w:cs="David"/>
          <w:b/>
          <w:b/>
          <w:bCs/>
          <w:rtl w:val="true"/>
        </w:rPr>
        <w:t>בארין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פסקה </w:t>
      </w:r>
      <w:r>
        <w:rPr>
          <w:rFonts w:cs="David" w:ascii="David" w:hAnsi="David"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31.5.2022</w:t>
      </w:r>
      <w:r>
        <w:rPr>
          <w:rFonts w:cs="David" w:ascii="David" w:hAnsi="David"/>
          <w:rtl w:val="true"/>
        </w:rPr>
        <w:t xml:space="preserve">); </w:t>
      </w:r>
      <w:hyperlink r:id="rId2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6011/21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חאלד דסוקי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</w:t>
      </w:r>
      <w:r>
        <w:rPr>
          <w:rFonts w:ascii="David" w:hAnsi="David" w:cs="David"/>
          <w:b/>
          <w:b/>
          <w:bCs/>
          <w:rtl w:val="true"/>
        </w:rPr>
        <w:t>י</w:t>
      </w:r>
      <w:r>
        <w:rPr>
          <w:rFonts w:ascii="David" w:hAnsi="David" w:cs="David"/>
          <w:b/>
          <w:b/>
          <w:bCs/>
          <w:rtl w:val="true"/>
        </w:rPr>
        <w:t>נת ישראל</w:t>
      </w:r>
      <w:r>
        <w:rPr>
          <w:rFonts w:ascii="David" w:hAnsi="David" w:cs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25.11.2021</w:t>
      </w:r>
      <w:r>
        <w:rPr>
          <w:rFonts w:cs="David" w:ascii="David" w:hAnsi="David"/>
          <w:rtl w:val="true"/>
        </w:rPr>
        <w:t xml:space="preserve">); </w:t>
      </w:r>
      <w:hyperlink r:id="rId28">
        <w:r>
          <w:rPr>
            <w:rStyle w:val="Hyperlink"/>
            <w:rFonts w:ascii="David" w:hAnsi="David" w:cs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, </w:t>
      </w:r>
      <w:r>
        <w:rPr>
          <w:rFonts w:ascii="David" w:hAnsi="David" w:cs="David"/>
          <w:spacing w:val="10"/>
          <w:sz w:val="20"/>
          <w:sz w:val="20"/>
          <w:shd w:fill="FFFFFF" w:val="clear"/>
          <w:rtl w:val="true"/>
        </w:rPr>
        <w:t xml:space="preserve">פסקה </w:t>
      </w:r>
      <w:r>
        <w:rPr>
          <w:rFonts w:cs="David" w:ascii="David" w:hAnsi="David"/>
          <w:spacing w:val="10"/>
          <w:sz w:val="20"/>
          <w:shd w:fill="FFFFFF" w:val="clear"/>
        </w:rPr>
        <w:t>10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 (</w:t>
      </w:r>
      <w:r>
        <w:rPr>
          <w:rFonts w:cs="David" w:ascii="David" w:hAnsi="David"/>
          <w:spacing w:val="10"/>
          <w:sz w:val="20"/>
          <w:shd w:fill="FFFFFF" w:val="clear"/>
        </w:rPr>
        <w:t>28.12.2021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29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2283/22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אל נבארי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31.7.2022</w:t>
      </w:r>
      <w:r>
        <w:rPr>
          <w:rFonts w:cs="David" w:ascii="David" w:hAnsi="David"/>
          <w:rtl w:val="true"/>
        </w:rPr>
        <w:t xml:space="preserve">); </w:t>
      </w:r>
      <w:hyperlink r:id="rId30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26.7.2022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pacing w:val="10"/>
        </w:rPr>
      </w:pPr>
      <w:r>
        <w:rPr>
          <w:rFonts w:cs="David"/>
          <w:color w:val="000000"/>
          <w:spacing w:val="10"/>
          <w:rtl w:val="true"/>
        </w:rPr>
      </w:r>
    </w:p>
    <w:p>
      <w:pPr>
        <w:pStyle w:val="ListParagraph"/>
        <w:ind w:end="0"/>
        <w:jc w:val="start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 xml:space="preserve">מגמה זו </w:t>
      </w:r>
      <w:r>
        <w:rPr>
          <w:rtl w:val="true"/>
        </w:rPr>
        <w:t xml:space="preserve">קיבלה </w:t>
      </w:r>
      <w:r>
        <w:rPr>
          <w:rtl w:val="true"/>
        </w:rPr>
        <w:t xml:space="preserve">ביטוי </w:t>
      </w:r>
      <w:r>
        <w:rPr>
          <w:rtl w:val="true"/>
        </w:rPr>
        <w:t xml:space="preserve">סטטוטורי </w:t>
      </w:r>
      <w:r>
        <w:rPr>
          <w:rtl w:val="true"/>
        </w:rPr>
        <w:t xml:space="preserve">במסגרת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 xml:space="preserve">תיקון </w:t>
      </w:r>
      <w:r>
        <w:rPr/>
        <w:t>140</w:t>
      </w:r>
      <w:r>
        <w:rPr>
          <w:rtl w:val="true"/>
        </w:rPr>
        <w:t>-</w:t>
      </w:r>
      <w:r>
        <w:rPr>
          <w:rtl w:val="true"/>
        </w:rPr>
        <w:t>הוראת שעה</w:t>
      </w:r>
      <w:r>
        <w:rPr>
          <w:rtl w:val="true"/>
        </w:rPr>
        <w:t xml:space="preserve">)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מסגרתו</w:t>
      </w:r>
      <w:r>
        <w:rPr>
          <w:rtl w:val="true"/>
        </w:rPr>
        <w:t xml:space="preserve"> נקבעו עונשי מינימום </w:t>
      </w:r>
      <w:r>
        <w:rPr>
          <w:rtl w:val="true"/>
        </w:rPr>
        <w:t>ב</w:t>
      </w:r>
      <w:r>
        <w:rPr>
          <w:rtl w:val="true"/>
        </w:rPr>
        <w:t>עבירות נשק</w:t>
      </w:r>
      <w:r>
        <w:rPr>
          <w:rtl w:val="true"/>
        </w:rPr>
        <w:t xml:space="preserve">, </w:t>
      </w:r>
      <w:r>
        <w:rPr>
          <w:rtl w:val="true"/>
        </w:rPr>
        <w:t>כך שהעונש שיושת בגין עבירות אלו לא יפחת מרבע העונש המרבי שנקבע לעבירה</w:t>
      </w:r>
      <w:r>
        <w:rPr>
          <w:rtl w:val="true"/>
        </w:rPr>
        <w:t xml:space="preserve">, </w:t>
      </w:r>
      <w:r>
        <w:rPr>
          <w:rtl w:val="true"/>
        </w:rPr>
        <w:t>אלא בהתקיים טעמים מיוחדים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autoSpaceDE w:val="false"/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 xml:space="preserve">השימוש בנשק שביצע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מגביר את חומרת מעשיו</w:t>
      </w:r>
      <w:r>
        <w:rPr>
          <w:rtl w:val="true"/>
        </w:rPr>
        <w:t xml:space="preserve">. </w:t>
      </w:r>
      <w:r>
        <w:rPr>
          <w:rtl w:val="true"/>
        </w:rPr>
        <w:t>ירי מכוון בנשק חם</w:t>
      </w:r>
      <w:r>
        <w:rPr>
          <w:rtl w:val="true"/>
        </w:rPr>
        <w:t xml:space="preserve">, </w:t>
      </w:r>
      <w:r>
        <w:rPr>
          <w:rtl w:val="true"/>
        </w:rPr>
        <w:t>כל שכן בסביבת מגורים</w:t>
      </w:r>
      <w:r>
        <w:rPr>
          <w:rtl w:val="true"/>
        </w:rPr>
        <w:t xml:space="preserve">, </w:t>
      </w:r>
      <w:r>
        <w:rPr>
          <w:rtl w:val="true"/>
        </w:rPr>
        <w:t>מגביר את הסיכון לשלום הציבור ובטחונו</w:t>
      </w:r>
      <w:r>
        <w:rPr>
          <w:rtl w:val="true"/>
        </w:rPr>
        <w:t xml:space="preserve">, </w:t>
      </w:r>
      <w:r>
        <w:rPr>
          <w:rtl w:val="true"/>
        </w:rPr>
        <w:t>עלול לגרום נזק כבד לחיים</w:t>
      </w:r>
      <w:r>
        <w:rPr>
          <w:rtl w:val="true"/>
        </w:rPr>
        <w:t xml:space="preserve">, </w:t>
      </w:r>
      <w:r>
        <w:rPr>
          <w:rtl w:val="true"/>
        </w:rPr>
        <w:t xml:space="preserve">לגוף ולרכוש לעוברי אורח וליושבים בבתיהם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מסלאחה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9.8.22</w:t>
      </w:r>
      <w:r>
        <w:rPr>
          <w:rtl w:val="true"/>
        </w:rPr>
        <w:t>)).</w:t>
      </w:r>
    </w:p>
    <w:p>
      <w:pPr>
        <w:pStyle w:val="ListParagraph"/>
        <w:autoSpaceDE w:val="false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autoSpaceDE w:val="false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  <w:t xml:space="preserve">בשנת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החמיר המחוקק את העונש המרבי על ירי מנשק חם במקום מגורים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תיקונו של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לרבות החמרת העונש הקבוע בצד העבירה משנת מאסר אחת לחמש שנות מאסר </w:t>
      </w:r>
      <w:r>
        <w:rPr>
          <w:rtl w:val="true"/>
        </w:rPr>
        <w:t>(</w:t>
      </w:r>
      <w:r>
        <w:rPr>
          <w:rtl w:val="true"/>
        </w:rPr>
        <w:t xml:space="preserve">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134</w:t>
      </w:r>
      <w:r>
        <w:rPr>
          <w:rtl w:val="true"/>
        </w:rPr>
        <w:t>) (</w:t>
      </w:r>
      <w:r>
        <w:rPr>
          <w:rtl w:val="true"/>
        </w:rPr>
        <w:t>ירי מנשק חם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887</w:t>
      </w:r>
      <w:r>
        <w:rPr>
          <w:rtl w:val="true"/>
        </w:rPr>
        <w:t xml:space="preserve">)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4595/13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זובידאת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1414/17</w:t>
        </w:r>
      </w:hyperlink>
      <w:r>
        <w:rPr>
          <w:rtl w:val="true"/>
        </w:rPr>
        <w:t xml:space="preserve">, </w:t>
      </w:r>
      <w:r>
        <w:rPr/>
        <w:t>2030/17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עריאן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25.10.17</w:t>
      </w:r>
      <w:r>
        <w:rPr>
          <w:rtl w:val="true"/>
        </w:rPr>
        <w:t xml:space="preserve">.  </w:t>
      </w:r>
    </w:p>
    <w:p>
      <w:pPr>
        <w:pStyle w:val="ListParagraph"/>
        <w:autoSpaceDE w:val="false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autoSpaceDE w:val="false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  <w:t>יפים לענייננו הדברים האמורים בדברי ההסבר להצעה להחמרת העונש בגין עבירה דנא</w:t>
      </w:r>
      <w:r>
        <w:rPr>
          <w:rtl w:val="true"/>
        </w:rPr>
        <w:t>:</w:t>
      </w:r>
    </w:p>
    <w:p>
      <w:pPr>
        <w:pStyle w:val="ruller411"/>
        <w:bidi w:val="1"/>
        <w:spacing w:lineRule="atLeast" w:line="330" w:before="0" w:after="0"/>
        <w:ind w:end="0"/>
        <w:jc w:val="both"/>
        <w:rPr>
          <w:rFonts w:ascii="Arial TUR" w:hAnsi="Arial TUR" w:cs="Arial TUR"/>
          <w:color w:val="000000"/>
          <w:spacing w:val="10"/>
          <w:sz w:val="22"/>
          <w:szCs w:val="22"/>
        </w:rPr>
      </w:pP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ruller5"/>
        <w:bidi w:val="1"/>
        <w:spacing w:before="0" w:after="0"/>
        <w:ind w:start="1642" w:end="1282"/>
        <w:jc w:val="both"/>
        <w:rPr>
          <w:rFonts w:ascii="Arial TUR" w:hAnsi="Arial TUR" w:cs="David"/>
          <w:color w:val="000000"/>
          <w:spacing w:val="10"/>
        </w:rPr>
      </w:pPr>
      <w:r>
        <w:rPr>
          <w:rFonts w:cs="David" w:ascii="FrankRuehl" w:hAnsi="FrankRuehl"/>
          <w:color w:val="000000"/>
          <w:spacing w:val="10"/>
          <w:rtl w:val="true"/>
        </w:rPr>
        <w:t>"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עונש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זה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אינו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נותן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ביטוי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הולם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לחומרה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הגלומה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במעשה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ירי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שלא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כדין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ולסיכון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הגלום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במעשה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כאמור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לפגיעה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בערך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המוגן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שבבסיס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העבירה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–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הגנה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על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חיי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אדם</w:t>
      </w:r>
      <w:r>
        <w:rPr>
          <w:rFonts w:cs="David" w:ascii="FrankRuehl" w:hAnsi="FrankRuehl"/>
          <w:b/>
          <w:bCs/>
          <w:color w:val="000000"/>
          <w:spacing w:val="10"/>
          <w:rtl w:val="true"/>
        </w:rPr>
        <w:t xml:space="preserve">.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סיכון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כאמור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קיים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גם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אם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לא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היה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סיכון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קונקרטי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לחיי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אדם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שהעושה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היה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מודע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לו</w:t>
      </w:r>
      <w:r>
        <w:rPr>
          <w:rFonts w:cs="David" w:ascii="FrankRuehl" w:hAnsi="FrankRuehl"/>
          <w:b/>
          <w:bCs/>
          <w:color w:val="000000"/>
          <w:spacing w:val="10"/>
          <w:rtl w:val="true"/>
        </w:rPr>
        <w:t>.</w:t>
      </w:r>
      <w:r>
        <w:rPr>
          <w:rFonts w:cs="David" w:ascii="FrankRuehl" w:hAnsi="FrankRuehl"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קל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וחומר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שסיכון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כאמור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גלום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במקרה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שבו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הירי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מנשק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חם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סיכן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בפועל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חיי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אדם</w:t>
      </w:r>
      <w:r>
        <w:rPr>
          <w:rFonts w:cs="David" w:ascii="FrankRuehl" w:hAnsi="FrankRuehl"/>
          <w:b/>
          <w:bCs/>
          <w:color w:val="000000"/>
          <w:spacing w:val="10"/>
          <w:rtl w:val="true"/>
        </w:rPr>
        <w:t xml:space="preserve">,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למשל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במקרה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שבו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יריות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נורו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לעבר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ביתו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של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אדם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במטרה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להפחידו</w:t>
      </w:r>
      <w:r>
        <w:rPr>
          <w:rFonts w:cs="David" w:ascii="FrankRuehl" w:hAnsi="FrankRuehl"/>
          <w:b/>
          <w:bCs/>
          <w:color w:val="000000"/>
          <w:spacing w:val="10"/>
          <w:rtl w:val="true"/>
        </w:rPr>
        <w:t xml:space="preserve">,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בנסיבות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שבהן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לא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ניתן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לייחס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ליורה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ניסיון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לגרימת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פציעה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או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חבלה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חמורה</w:t>
      </w:r>
      <w:r>
        <w:rPr>
          <w:rFonts w:ascii="FrankRuehl" w:hAnsi="FrankRuehl" w:eastAsia="FrankRuehl" w:cs="FrankRuehl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pacing w:val="10"/>
          <w:rtl w:val="true"/>
        </w:rPr>
        <w:t>לאדם</w:t>
      </w:r>
      <w:r>
        <w:rPr>
          <w:rFonts w:cs="David" w:ascii="FrankRuehl" w:hAnsi="FrankRuehl"/>
          <w:color w:val="000000"/>
          <w:spacing w:val="10"/>
          <w:rtl w:val="true"/>
        </w:rPr>
        <w:t>" (</w:t>
      </w:r>
      <w:r>
        <w:rPr>
          <w:rFonts w:ascii="FrankRuehl" w:hAnsi="FrankRuehl" w:cs="David"/>
          <w:color w:val="000000"/>
          <w:spacing w:val="10"/>
          <w:rtl w:val="true"/>
        </w:rPr>
        <w:t>דברי</w:t>
      </w:r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color w:val="000000"/>
          <w:spacing w:val="10"/>
          <w:rtl w:val="true"/>
        </w:rPr>
        <w:t>ההסבר</w:t>
      </w:r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color w:val="000000"/>
          <w:spacing w:val="10"/>
          <w:rtl w:val="true"/>
        </w:rPr>
        <w:t>להצעת</w:t>
      </w:r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hyperlink r:id="rId35">
        <w:r>
          <w:rPr>
            <w:rStyle w:val="Hyperlink"/>
            <w:rFonts w:ascii="FrankRuehl" w:hAnsi="FrankRuehl" w:cs="David"/>
            <w:color w:val="0000FF"/>
            <w:spacing w:val="10"/>
            <w:u w:val="single"/>
            <w:rtl w:val="true"/>
          </w:rPr>
          <w:t>חוק</w:t>
        </w:r>
        <w:r>
          <w:rPr>
            <w:rStyle w:val="Hyperlink"/>
            <w:rFonts w:ascii="FrankRuehl" w:hAnsi="FrankRuehl" w:eastAsia="FrankRuehl" w:cs="FrankRuehl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David"/>
            <w:color w:val="0000FF"/>
            <w:spacing w:val="10"/>
            <w:u w:val="single"/>
            <w:rtl w:val="true"/>
          </w:rPr>
          <w:t>העונשין</w:t>
        </w:r>
      </w:hyperlink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r>
        <w:rPr>
          <w:rFonts w:cs="David" w:ascii="FrankRuehl" w:hAnsi="FrankRuehl"/>
          <w:color w:val="000000"/>
          <w:spacing w:val="10"/>
          <w:rtl w:val="true"/>
        </w:rPr>
        <w:t>(</w:t>
      </w:r>
      <w:r>
        <w:rPr>
          <w:rFonts w:ascii="FrankRuehl" w:hAnsi="FrankRuehl" w:cs="David"/>
          <w:color w:val="000000"/>
          <w:spacing w:val="10"/>
          <w:rtl w:val="true"/>
        </w:rPr>
        <w:t>תיקון</w:t>
      </w:r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color w:val="000000"/>
          <w:spacing w:val="10"/>
          <w:rtl w:val="true"/>
        </w:rPr>
        <w:t>מס</w:t>
      </w:r>
      <w:r>
        <w:rPr>
          <w:rFonts w:cs="David" w:ascii="FrankRuehl" w:hAnsi="FrankRuehl"/>
          <w:color w:val="000000"/>
          <w:spacing w:val="10"/>
          <w:rtl w:val="true"/>
        </w:rPr>
        <w:t xml:space="preserve">' </w:t>
      </w:r>
      <w:r>
        <w:rPr>
          <w:rFonts w:cs="David" w:ascii="FrankRuehl" w:hAnsi="FrankRuehl"/>
          <w:color w:val="000000"/>
          <w:spacing w:val="10"/>
        </w:rPr>
        <w:t>132</w:t>
      </w:r>
      <w:r>
        <w:rPr>
          <w:rFonts w:cs="David" w:ascii="FrankRuehl" w:hAnsi="FrankRuehl"/>
          <w:color w:val="000000"/>
          <w:spacing w:val="10"/>
          <w:rtl w:val="true"/>
        </w:rPr>
        <w:t>) (</w:t>
      </w:r>
      <w:r>
        <w:rPr>
          <w:rFonts w:ascii="FrankRuehl" w:hAnsi="FrankRuehl" w:cs="David"/>
          <w:color w:val="000000"/>
          <w:spacing w:val="10"/>
          <w:rtl w:val="true"/>
        </w:rPr>
        <w:t>ירי</w:t>
      </w:r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color w:val="000000"/>
          <w:spacing w:val="10"/>
          <w:rtl w:val="true"/>
        </w:rPr>
        <w:t>מנשק</w:t>
      </w:r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color w:val="000000"/>
          <w:spacing w:val="10"/>
          <w:rtl w:val="true"/>
        </w:rPr>
        <w:t>חם</w:t>
      </w:r>
      <w:r>
        <w:rPr>
          <w:rFonts w:cs="David" w:ascii="FrankRuehl" w:hAnsi="FrankRuehl"/>
          <w:color w:val="000000"/>
          <w:spacing w:val="10"/>
          <w:rtl w:val="true"/>
        </w:rPr>
        <w:t xml:space="preserve">), </w:t>
      </w:r>
      <w:r>
        <w:rPr>
          <w:rFonts w:ascii="FrankRuehl" w:hAnsi="FrankRuehl" w:cs="David"/>
          <w:color w:val="000000"/>
          <w:spacing w:val="10"/>
          <w:rtl w:val="true"/>
        </w:rPr>
        <w:t>התשע</w:t>
      </w:r>
      <w:r>
        <w:rPr>
          <w:rFonts w:cs="David" w:ascii="FrankRuehl" w:hAnsi="FrankRuehl"/>
          <w:color w:val="000000"/>
          <w:spacing w:val="10"/>
          <w:rtl w:val="true"/>
        </w:rPr>
        <w:t>"</w:t>
      </w:r>
      <w:r>
        <w:rPr>
          <w:rFonts w:ascii="FrankRuehl" w:hAnsi="FrankRuehl" w:cs="David"/>
          <w:color w:val="000000"/>
          <w:spacing w:val="10"/>
          <w:rtl w:val="true"/>
        </w:rPr>
        <w:t>ח</w:t>
      </w:r>
      <w:r>
        <w:rPr>
          <w:rFonts w:cs="David" w:ascii="FrankRuehl" w:hAnsi="FrankRuehl"/>
          <w:color w:val="000000"/>
          <w:spacing w:val="10"/>
          <w:rtl w:val="true"/>
        </w:rPr>
        <w:t>-</w:t>
      </w:r>
      <w:r>
        <w:rPr>
          <w:rFonts w:cs="David" w:ascii="FrankRuehl" w:hAnsi="FrankRuehl"/>
          <w:color w:val="000000"/>
          <w:spacing w:val="10"/>
        </w:rPr>
        <w:t>2018</w:t>
      </w:r>
      <w:r>
        <w:rPr>
          <w:rFonts w:cs="David" w:ascii="FrankRuehl" w:hAnsi="FrankRuehl"/>
          <w:color w:val="000000"/>
          <w:spacing w:val="10"/>
          <w:rtl w:val="true"/>
        </w:rPr>
        <w:t xml:space="preserve">, </w:t>
      </w:r>
      <w:r>
        <w:rPr>
          <w:rFonts w:ascii="FrankRuehl" w:hAnsi="FrankRuehl" w:cs="David"/>
          <w:color w:val="000000"/>
          <w:spacing w:val="10"/>
          <w:rtl w:val="true"/>
        </w:rPr>
        <w:t>ה</w:t>
      </w:r>
      <w:r>
        <w:rPr>
          <w:rFonts w:cs="David" w:ascii="FrankRuehl" w:hAnsi="FrankRuehl"/>
          <w:color w:val="000000"/>
          <w:spacing w:val="10"/>
          <w:rtl w:val="true"/>
        </w:rPr>
        <w:t>"</w:t>
      </w:r>
      <w:r>
        <w:rPr>
          <w:rFonts w:ascii="FrankRuehl" w:hAnsi="FrankRuehl" w:cs="David"/>
          <w:color w:val="000000"/>
          <w:spacing w:val="10"/>
          <w:rtl w:val="true"/>
        </w:rPr>
        <w:t>ח</w:t>
      </w:r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r>
        <w:rPr>
          <w:rFonts w:ascii="FrankRuehl" w:hAnsi="FrankRuehl" w:cs="David"/>
          <w:color w:val="000000"/>
          <w:spacing w:val="10"/>
          <w:rtl w:val="true"/>
        </w:rPr>
        <w:t>הממשלה</w:t>
      </w:r>
      <w:r>
        <w:rPr>
          <w:rFonts w:ascii="FrankRuehl" w:hAnsi="FrankRuehl" w:eastAsia="FrankRuehl" w:cs="FrankRuehl"/>
          <w:color w:val="000000"/>
          <w:spacing w:val="10"/>
          <w:rtl w:val="true"/>
        </w:rPr>
        <w:t xml:space="preserve"> </w:t>
      </w:r>
      <w:r>
        <w:rPr>
          <w:rFonts w:cs="David" w:ascii="FrankRuehl" w:hAnsi="FrankRuehl"/>
          <w:color w:val="000000"/>
          <w:spacing w:val="10"/>
        </w:rPr>
        <w:t>914</w:t>
      </w:r>
      <w:r>
        <w:rPr>
          <w:rFonts w:cs="David" w:ascii="FrankRuehl" w:hAnsi="FrankRuehl"/>
          <w:color w:val="000000"/>
          <w:spacing w:val="10"/>
          <w:rtl w:val="true"/>
        </w:rPr>
        <w:t xml:space="preserve">, </w:t>
      </w:r>
      <w:r>
        <w:rPr>
          <w:rFonts w:cs="David" w:ascii="FrankRuehl" w:hAnsi="FrankRuehl"/>
          <w:color w:val="000000"/>
          <w:spacing w:val="10"/>
        </w:rPr>
        <w:t>914</w:t>
      </w:r>
      <w:r>
        <w:rPr>
          <w:rFonts w:cs="David" w:ascii="FrankRuehl" w:hAnsi="FrankRuehl"/>
          <w:color w:val="000000"/>
          <w:spacing w:val="10"/>
          <w:rtl w:val="true"/>
        </w:rPr>
        <w:t>).</w:t>
      </w:r>
    </w:p>
    <w:p>
      <w:pPr>
        <w:pStyle w:val="ruller411"/>
        <w:bidi w:val="1"/>
        <w:spacing w:lineRule="atLeast" w:line="330" w:before="0" w:after="0"/>
        <w:ind w:end="0"/>
        <w:jc w:val="both"/>
        <w:rPr>
          <w:rFonts w:ascii="Arial TUR" w:hAnsi="Arial TUR" w:cs="Arial TUR"/>
          <w:color w:val="000000"/>
          <w:spacing w:val="10"/>
          <w:sz w:val="22"/>
          <w:szCs w:val="22"/>
        </w:rPr>
      </w:pP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 xml:space="preserve">נסיבות מעשי הנאשמים </w:t>
      </w:r>
      <w:r>
        <w:rPr>
          <w:rtl w:val="true"/>
        </w:rPr>
        <w:t xml:space="preserve"> כוללות פנים רבים של חומרה</w:t>
      </w:r>
      <w:r>
        <w:rPr>
          <w:rtl w:val="true"/>
        </w:rPr>
        <w:t>: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b/>
          <w:b/>
          <w:bCs/>
          <w:rtl w:val="true"/>
        </w:rPr>
        <w:t>על רקע סכסוך כספי</w:t>
      </w:r>
      <w:r>
        <w:rPr>
          <w:rtl w:val="true"/>
        </w:rPr>
        <w:t xml:space="preserve">, </w:t>
      </w:r>
      <w:r>
        <w:rPr>
          <w:rtl w:val="true"/>
        </w:rPr>
        <w:t xml:space="preserve">בין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לחמודי</w:t>
      </w:r>
      <w:r>
        <w:rPr>
          <w:rtl w:val="true"/>
        </w:rPr>
        <w:t xml:space="preserve">, </w:t>
      </w:r>
      <w:r>
        <w:rPr>
          <w:rtl w:val="true"/>
        </w:rPr>
        <w:t>שטיבו לא הובהר</w:t>
      </w:r>
      <w:r>
        <w:rPr>
          <w:rtl w:val="true"/>
        </w:rPr>
        <w:t xml:space="preserve">, </w:t>
      </w:r>
      <w:r>
        <w:rPr>
          <w:rtl w:val="true"/>
        </w:rPr>
        <w:t xml:space="preserve">גמר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אומר לנקום בחמודי ולהלך עליו אימים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יצר קשר עם חמודי</w:t>
      </w:r>
      <w:r>
        <w:rPr>
          <w:rtl w:val="true"/>
        </w:rPr>
        <w:t xml:space="preserve">, </w:t>
      </w:r>
      <w:r>
        <w:rPr>
          <w:rtl w:val="true"/>
        </w:rPr>
        <w:t>איים שיירה על ביתו ומייד ובסמוך</w:t>
      </w:r>
      <w:r>
        <w:rPr>
          <w:rtl w:val="true"/>
        </w:rPr>
        <w:t xml:space="preserve">, </w:t>
      </w:r>
      <w:r>
        <w:rPr>
          <w:rtl w:val="true"/>
        </w:rPr>
        <w:t>בסיוע בן דודו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מימש את איומיו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 הירי כללו תכנון</w:t>
      </w:r>
      <w:r>
        <w:rPr>
          <w:rtl w:val="true"/>
        </w:rPr>
        <w:t xml:space="preserve">, </w:t>
      </w:r>
      <w:r>
        <w:rPr>
          <w:rtl w:val="true"/>
        </w:rPr>
        <w:t>הנאשמים שהתגוררו בבתים נפרדים</w:t>
      </w:r>
      <w:r>
        <w:rPr>
          <w:rtl w:val="true"/>
        </w:rPr>
        <w:t xml:space="preserve">, </w:t>
      </w:r>
      <w:r>
        <w:rPr>
          <w:rtl w:val="true"/>
        </w:rPr>
        <w:t>חברו יחד בשעת בוקר מוקדמת</w:t>
      </w:r>
      <w:r>
        <w:rPr>
          <w:rtl w:val="true"/>
        </w:rPr>
        <w:t xml:space="preserve">, </w:t>
      </w:r>
      <w:r>
        <w:rPr>
          <w:rtl w:val="true"/>
        </w:rPr>
        <w:t>כשהם מצויידים בנשק מסוג קלצ</w:t>
      </w:r>
      <w:r>
        <w:rPr>
          <w:rtl w:val="true"/>
        </w:rPr>
        <w:t>'</w:t>
      </w:r>
      <w:r>
        <w:rPr>
          <w:rtl w:val="true"/>
        </w:rPr>
        <w:t>ניקוב טעון ומוכן לירי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נשא את הנשק ונאשם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 ברכב וסייע בידו</w:t>
      </w:r>
      <w:r>
        <w:rPr>
          <w:rtl w:val="true"/>
        </w:rPr>
        <w:t xml:space="preserve">. </w:t>
      </w:r>
      <w:r>
        <w:rPr>
          <w:rtl w:val="true"/>
        </w:rPr>
        <w:t>תחילה הגיעו לבית אביו של חמודי</w:t>
      </w:r>
      <w:r>
        <w:rPr>
          <w:rtl w:val="true"/>
        </w:rPr>
        <w:t xml:space="preserve">, </w:t>
      </w:r>
      <w:r>
        <w:rPr>
          <w:rtl w:val="true"/>
        </w:rPr>
        <w:t>שאינו מעורב בסכסוך</w:t>
      </w:r>
      <w:r>
        <w:rPr>
          <w:rtl w:val="true"/>
        </w:rPr>
        <w:t xml:space="preserve">, </w:t>
      </w:r>
      <w:r>
        <w:rPr>
          <w:rtl w:val="true"/>
        </w:rPr>
        <w:t>ירו לעבר הבית וגרמו נזק לקירות ולשער הבית</w:t>
      </w:r>
      <w:r>
        <w:rPr>
          <w:rtl w:val="true"/>
        </w:rPr>
        <w:t xml:space="preserve">. </w:t>
      </w:r>
      <w:r>
        <w:rPr>
          <w:rtl w:val="true"/>
        </w:rPr>
        <w:t>אך בנס לא נגרמה פגיעה בנפש</w:t>
      </w:r>
      <w:r>
        <w:rPr>
          <w:rtl w:val="true"/>
        </w:rPr>
        <w:t xml:space="preserve">. </w:t>
      </w:r>
      <w:r>
        <w:rPr>
          <w:rtl w:val="true"/>
        </w:rPr>
        <w:t>הנאשמים לא הסתפקו בכך</w:t>
      </w:r>
      <w:r>
        <w:rPr>
          <w:rtl w:val="true"/>
        </w:rPr>
        <w:t xml:space="preserve">, </w:t>
      </w:r>
      <w:r>
        <w:rPr>
          <w:rtl w:val="true"/>
        </w:rPr>
        <w:t>ופנו לביתו של חמודי</w:t>
      </w:r>
      <w:r>
        <w:rPr>
          <w:rtl w:val="true"/>
        </w:rPr>
        <w:t xml:space="preserve">, </w:t>
      </w:r>
      <w:r>
        <w:rPr>
          <w:rtl w:val="true"/>
        </w:rPr>
        <w:t>ככל הנראה כדי לבצע ירי נוסף</w:t>
      </w:r>
      <w:r>
        <w:rPr>
          <w:rtl w:val="true"/>
        </w:rPr>
        <w:t xml:space="preserve">, </w:t>
      </w:r>
      <w:r>
        <w:rPr>
          <w:rtl w:val="true"/>
        </w:rPr>
        <w:t>אך משום שהבחינו ברכב משטרתי בסמוך</w:t>
      </w:r>
      <w:r>
        <w:rPr>
          <w:rtl w:val="true"/>
        </w:rPr>
        <w:t xml:space="preserve">, </w:t>
      </w:r>
      <w:r>
        <w:rPr>
          <w:rtl w:val="true"/>
        </w:rPr>
        <w:t>סבו על עקבותיהם ונמלטו</w:t>
      </w:r>
      <w:r>
        <w:rPr>
          <w:rtl w:val="true"/>
        </w:rPr>
        <w:t xml:space="preserve">. </w:t>
      </w:r>
      <w:r>
        <w:rPr>
          <w:rtl w:val="true"/>
        </w:rPr>
        <w:t>הנאשמים ניסו להמלט מהשוטרים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השליך את הנשק ונאשם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יצא מהרכב והתחבא בסמוך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חלקו היחסי של 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 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 היה מעורב בסכסוך ובעל האינטרס לפגיעה בחמודי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עם זאת חלקו של 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 שולי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יצא מביתו בשעה מוקדמת</w:t>
      </w:r>
      <w:r>
        <w:rPr>
          <w:rtl w:val="true"/>
        </w:rPr>
        <w:t xml:space="preserve">, </w:t>
      </w:r>
      <w:r>
        <w:rPr>
          <w:rtl w:val="true"/>
        </w:rPr>
        <w:t>נהג ברכב</w:t>
      </w:r>
      <w:r>
        <w:rPr>
          <w:rtl w:val="true"/>
        </w:rPr>
        <w:t xml:space="preserve">, </w:t>
      </w:r>
      <w:r>
        <w:rPr>
          <w:rtl w:val="true"/>
        </w:rPr>
        <w:t xml:space="preserve">הוביל את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ליעדי הירי וכשהבחין בשוטרים</w:t>
      </w:r>
      <w:r>
        <w:rPr>
          <w:rtl w:val="true"/>
        </w:rPr>
        <w:t xml:space="preserve">, </w:t>
      </w:r>
      <w:r>
        <w:rPr>
          <w:rtl w:val="true"/>
        </w:rPr>
        <w:t>האיץ את מהירות הרכב בכוונה להמלט מהשוטרים תוך שהוא נוהג בקלות ראש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לכך אוסיף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הנאשמים הפרו תנאי מעצר בית בהם היו נתונים במסגרת תיק 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שגם בו שיתפו פעולה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הנזק שנגרם כתוצאה מהירי היה לרכוש בלבד אך פוטנציאל הנזק רב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עוד ניתן ללמוד על השלכות המעשים</w:t>
      </w:r>
      <w:r>
        <w:rPr>
          <w:rtl w:val="true"/>
        </w:rPr>
        <w:t xml:space="preserve">, </w:t>
      </w:r>
      <w:r>
        <w:rPr>
          <w:rtl w:val="true"/>
        </w:rPr>
        <w:t>מדברי חמודי</w:t>
      </w:r>
      <w:r>
        <w:rPr>
          <w:rtl w:val="true"/>
        </w:rPr>
        <w:t xml:space="preserve">,  </w:t>
      </w:r>
      <w:r>
        <w:rPr>
          <w:rtl w:val="true"/>
        </w:rPr>
        <w:t>כעולה משיחתו עם המאשימה</w:t>
      </w:r>
      <w:r>
        <w:rPr>
          <w:rtl w:val="true"/>
        </w:rPr>
        <w:t xml:space="preserve">, </w:t>
      </w:r>
      <w:r>
        <w:rPr>
          <w:rtl w:val="true"/>
        </w:rPr>
        <w:t>בני משפחתו עדיין מצויים בטראומה וחוששים לחייהם</w:t>
      </w:r>
      <w:r>
        <w:rPr>
          <w:rtl w:val="true"/>
        </w:rPr>
        <w:t xml:space="preserve">. </w:t>
      </w:r>
      <w:r>
        <w:rPr>
          <w:rtl w:val="true"/>
        </w:rPr>
        <w:t xml:space="preserve">מעשי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פגעו פגיעה מוחשית וגבוהה בערכים המוגנים</w:t>
      </w:r>
      <w:r>
        <w:rPr>
          <w:rtl w:val="true"/>
        </w:rPr>
        <w:t xml:space="preserve">, </w:t>
      </w:r>
      <w:r>
        <w:rPr>
          <w:rtl w:val="true"/>
        </w:rPr>
        <w:t xml:space="preserve">פגיעת מעשי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היא ברף בינוני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דינם של עברייני הנשק הוא למאסר מאחורי סורג ובריח</w:t>
      </w:r>
      <w:r>
        <w:rPr>
          <w:rtl w:val="true"/>
        </w:rPr>
        <w:t xml:space="preserve">,  </w:t>
      </w:r>
      <w:r>
        <w:rPr>
          <w:rtl w:val="true"/>
        </w:rPr>
        <w:t>הפסיקה אינה מקלה עם נאשמים צעירים או נעדרי עבר פלילי</w:t>
      </w:r>
      <w:r>
        <w:rPr>
          <w:rtl w:val="true"/>
        </w:rPr>
        <w:t xml:space="preserve">, </w:t>
      </w:r>
      <w:r>
        <w:rPr>
          <w:rtl w:val="true"/>
        </w:rPr>
        <w:t>ומבכרת את האינטרס הציבורי על פני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לרבות במקרי שיקום</w:t>
      </w:r>
      <w:r>
        <w:rPr>
          <w:rtl w:val="true"/>
        </w:rPr>
        <w:t xml:space="preserve">. </w:t>
      </w:r>
      <w:r>
        <w:rPr>
          <w:rtl w:val="true"/>
        </w:rPr>
        <w:t>המסר העונשי נחרץ ואינו משתמע לשני פנים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עלינו לזכור כי מדובר במשחק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סכום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אפס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שופט שמרחם על עבריין נשק ומקל בעונשו אינו מרחם על הקורבן הבא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פסק דינו של כב</w:t>
      </w:r>
      <w:r>
        <w:rPr>
          <w:rtl w:val="true"/>
        </w:rPr>
        <w:t xml:space="preserve">' </w:t>
      </w:r>
      <w:r>
        <w:rPr>
          <w:rtl w:val="true"/>
        </w:rPr>
        <w:t>השופט שטיין</w:t>
      </w:r>
      <w:r>
        <w:rPr>
          <w:rtl w:val="true"/>
        </w:rPr>
        <w:t xml:space="preserve">,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7850/21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נת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</w:t>
      </w:r>
      <w:r>
        <w:rPr/>
        <w:t>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עוד ייאמר</w:t>
      </w:r>
      <w:r>
        <w:rPr>
          <w:rtl w:val="true"/>
        </w:rPr>
        <w:t xml:space="preserve">, </w:t>
      </w:r>
      <w:r>
        <w:rPr>
          <w:rtl w:val="true"/>
        </w:rPr>
        <w:t>כי מאז החמרת הענישה בגין עבירה של ירי בנשק באזור מגורים</w:t>
      </w:r>
      <w:r>
        <w:rPr>
          <w:rtl w:val="true"/>
        </w:rPr>
        <w:t xml:space="preserve">, </w:t>
      </w:r>
      <w:r>
        <w:rPr>
          <w:rtl w:val="true"/>
        </w:rPr>
        <w:t>נוקט בית המשפט העליון מדיניות ענישה מחמירה ועקבית הכוללת מאסרים ממושכים</w:t>
      </w:r>
      <w:r>
        <w:rPr>
          <w:rtl w:val="true"/>
        </w:rPr>
        <w:t xml:space="preserve">, </w:t>
      </w:r>
      <w:r>
        <w:rPr>
          <w:rtl w:val="true"/>
        </w:rPr>
        <w:t>בעיקר כאשר מדובר בירי מכוון לצורך פגיעה או במטרה להלך אימים המבוצע כלפי בתי מגורים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כך למשל 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1427/21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שוויקי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26.5.21</w:t>
      </w:r>
      <w:r>
        <w:rPr>
          <w:rtl w:val="true"/>
        </w:rPr>
        <w:t xml:space="preserve">) </w:t>
      </w:r>
      <w:r>
        <w:rPr>
          <w:rtl w:val="true"/>
        </w:rPr>
        <w:t xml:space="preserve">נדחה ערעורו של נאשם שהורשע בירי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 באוויר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ונדון למאסר בן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 </w:t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3169/21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אגבריה 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21.6.2021</w:t>
      </w:r>
      <w:r>
        <w:rPr>
          <w:rtl w:val="true"/>
        </w:rPr>
        <w:t xml:space="preserve">) </w:t>
      </w:r>
      <w:r>
        <w:rPr>
          <w:rtl w:val="true"/>
        </w:rPr>
        <w:t>החמיר בית המשפט העליון בעונשם של שני משיבים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אשר ירו באוויר באמצעות רובה סער</w:t>
      </w:r>
      <w:r>
        <w:rPr>
          <w:rtl w:val="true"/>
        </w:rPr>
        <w:t xml:space="preserve">,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קליעים מחוץ לביתו של המתלונן</w:t>
      </w:r>
      <w:r>
        <w:rPr>
          <w:rtl w:val="true"/>
        </w:rPr>
        <w:t xml:space="preserve">, </w:t>
      </w:r>
      <w:r>
        <w:rPr>
          <w:rtl w:val="true"/>
        </w:rPr>
        <w:t>והשליכו ראש כבש לעבר חצר ביתו</w:t>
      </w:r>
      <w:r>
        <w:rPr>
          <w:rtl w:val="true"/>
        </w:rPr>
        <w:t xml:space="preserve">. </w:t>
      </w:r>
      <w:r>
        <w:rPr>
          <w:rtl w:val="true"/>
        </w:rPr>
        <w:t xml:space="preserve">כל אחד מהם נדון למאסר בן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 </w:t>
      </w:r>
      <w:r>
        <w:rPr>
          <w:rtl w:val="true"/>
        </w:rPr>
        <w:t xml:space="preserve">חלף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שהשית עליהם בית המשפט המחוזי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נבארי </w:t>
      </w:r>
      <w:r>
        <w:rPr>
          <w:rtl w:val="true"/>
        </w:rPr>
        <w:t>(</w:t>
      </w:r>
      <w:r>
        <w:rPr/>
        <w:t>2.7.20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נדון נאשם</w:t>
      </w:r>
      <w:r>
        <w:rPr>
          <w:rtl w:val="true"/>
        </w:rPr>
        <w:t xml:space="preserve">, </w:t>
      </w:r>
      <w:r>
        <w:rPr>
          <w:rtl w:val="true"/>
        </w:rPr>
        <w:t>בעל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בגין נשיאת נשק מסוג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 xml:space="preserve">וירי בשעת לילה של שני כדורים באזור מגורים למאסר בן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נקבע מתחם שנע בין </w:t>
      </w:r>
      <w:r>
        <w:rPr/>
        <w:t>20-50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בית המשפט קיבל את ערעור המדינה</w:t>
      </w:r>
      <w:r>
        <w:rPr>
          <w:rtl w:val="true"/>
        </w:rPr>
        <w:t xml:space="preserve">, </w:t>
      </w:r>
      <w:r>
        <w:rPr>
          <w:rtl w:val="true"/>
        </w:rPr>
        <w:t>קבע כי לא ניתן ביטוי הולם לחומרת המעשים ולצרכי ההרתעה</w:t>
      </w:r>
      <w:r>
        <w:rPr>
          <w:rtl w:val="true"/>
        </w:rPr>
        <w:t xml:space="preserve">, </w:t>
      </w:r>
      <w:r>
        <w:rPr>
          <w:rtl w:val="true"/>
        </w:rPr>
        <w:t xml:space="preserve">והעמיד את עונשו על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1682/22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סבג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11.9.22</w:t>
      </w:r>
      <w:r>
        <w:rPr>
          <w:rtl w:val="true"/>
        </w:rPr>
        <w:t xml:space="preserve">), </w:t>
      </w:r>
      <w:r>
        <w:rPr>
          <w:rtl w:val="true"/>
        </w:rPr>
        <w:t>דחה בית המשפט העליון את ערעור המערער</w:t>
      </w:r>
      <w:r>
        <w:rPr>
          <w:rtl w:val="true"/>
        </w:rPr>
        <w:t xml:space="preserve">, </w:t>
      </w:r>
      <w:r>
        <w:rPr>
          <w:rtl w:val="true"/>
        </w:rPr>
        <w:t>בעל עבר פלילי מכביד</w:t>
      </w:r>
      <w:r>
        <w:rPr>
          <w:rtl w:val="true"/>
        </w:rPr>
        <w:t xml:space="preserve">, </w:t>
      </w:r>
      <w:r>
        <w:rPr>
          <w:rtl w:val="true"/>
        </w:rPr>
        <w:t>אשר יחד עם שניים נוספים</w:t>
      </w:r>
      <w:r>
        <w:rPr>
          <w:rtl w:val="true"/>
        </w:rPr>
        <w:t xml:space="preserve">, </w:t>
      </w:r>
      <w:r>
        <w:rPr>
          <w:rtl w:val="true"/>
        </w:rPr>
        <w:t>ירה באקדח חצי אוטומטי בשעת צהריים סמוך לביתו של אדם עמו היה מסוכסך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ענישה הנע בין </w:t>
      </w:r>
      <w:r>
        <w:rPr/>
        <w:t>60-30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נדון למאסר בן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1059/21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29.04</w:t>
      </w:r>
      <w:r>
        <w:rPr>
          <w:rtl w:val="true"/>
        </w:rPr>
        <w:t xml:space="preserve">. </w:t>
      </w:r>
      <w:r>
        <w:rPr/>
        <w:t>21</w:t>
      </w:r>
      <w:r>
        <w:rPr>
          <w:rtl w:val="true"/>
        </w:rPr>
        <w:t xml:space="preserve">), </w:t>
      </w:r>
      <w:r>
        <w:rPr>
          <w:rtl w:val="true"/>
        </w:rPr>
        <w:t>נדחה ערעורו של נאשם שהורשע בהחזקת אקדח גנוב וירי מספר יריות לעבר קטין עמו היה מסוכסך</w:t>
      </w:r>
      <w:r>
        <w:rPr>
          <w:rtl w:val="true"/>
        </w:rPr>
        <w:t xml:space="preserve">, </w:t>
      </w:r>
      <w:r>
        <w:rPr>
          <w:rtl w:val="true"/>
        </w:rPr>
        <w:t>סמוך לבית מגוריו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הורשע בירי לפי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 נדחה</w:t>
      </w:r>
      <w:r>
        <w:rPr>
          <w:rtl w:val="true"/>
        </w:rPr>
        <w:t xml:space="preserve">;  </w:t>
      </w: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8322/21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דחלה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13.4.22</w:t>
      </w:r>
      <w:r>
        <w:rPr>
          <w:rtl w:val="true"/>
        </w:rPr>
        <w:t xml:space="preserve">) </w:t>
      </w:r>
      <w:r>
        <w:rPr>
          <w:rtl w:val="true"/>
        </w:rPr>
        <w:t>דחה בית המשפט העליון את ערעור המערער</w:t>
      </w:r>
      <w:r>
        <w:rPr>
          <w:rtl w:val="true"/>
        </w:rPr>
        <w:t xml:space="preserve">, </w:t>
      </w:r>
      <w:r>
        <w:rPr>
          <w:rtl w:val="true"/>
        </w:rPr>
        <w:t>צעיר ללא עבר</w:t>
      </w:r>
      <w:r>
        <w:rPr>
          <w:rtl w:val="true"/>
        </w:rPr>
        <w:t xml:space="preserve">, </w:t>
      </w:r>
      <w:r>
        <w:rPr>
          <w:rtl w:val="true"/>
        </w:rPr>
        <w:t>אשר ירה באקדח בסמוך לבתי מגורים על רקע סכסוך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ענישה הנע בין </w:t>
      </w:r>
      <w:r>
        <w:rPr/>
        <w:t>54-34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7831/21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 עסליה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24.4.2022</w:t>
      </w:r>
      <w:r>
        <w:rPr>
          <w:rtl w:val="true"/>
        </w:rPr>
        <w:t xml:space="preserve">) </w:t>
      </w:r>
      <w:r>
        <w:rPr>
          <w:rtl w:val="true"/>
        </w:rPr>
        <w:t>דחה בית המשפט העליון את ערעור המערער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אשר יחד עם שניים אחרים</w:t>
      </w:r>
      <w:r>
        <w:rPr>
          <w:rtl w:val="true"/>
        </w:rPr>
        <w:t xml:space="preserve">, </w:t>
      </w:r>
      <w:r>
        <w:rPr>
          <w:rtl w:val="true"/>
        </w:rPr>
        <w:t>ירה במועדון הומה אדם באופן פזיז</w:t>
      </w:r>
      <w:r>
        <w:rPr>
          <w:rtl w:val="true"/>
        </w:rPr>
        <w:t xml:space="preserve">, </w:t>
      </w:r>
      <w:r>
        <w:rPr>
          <w:rtl w:val="true"/>
        </w:rPr>
        <w:t>על רקע סכסוך עם אחד מהנוכחים במקום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ענישה הנע בין </w:t>
      </w:r>
      <w:r>
        <w:rPr/>
        <w:t>72-36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וגזר עונשו למאסר בן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עוד מייחסת הפסיקה משנה חומרה לנשיאת נשק התקפי מסוג רובה סער כמו במקרה שבפנינו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לאחר שבחנתי את נסיבות מעשי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אני קובעת בעניינו מתחם ענישה שנע</w:t>
      </w:r>
      <w:r>
        <w:rPr>
          <w:b/>
          <w:b/>
          <w:bCs/>
          <w:rtl w:val="true"/>
        </w:rPr>
        <w:t xml:space="preserve"> בין </w:t>
      </w:r>
      <w:r>
        <w:rPr>
          <w:b/>
          <w:bCs/>
        </w:rPr>
        <w:t>3.5-7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אשר לנאשם 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נקבע מתחם ענישה שנע בין </w:t>
      </w:r>
      <w:r>
        <w:rPr>
          <w:b/>
          <w:bCs/>
        </w:rPr>
        <w:t>20-45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>בעברו שלוש הרשעות פליליות</w:t>
      </w:r>
      <w:r>
        <w:rPr>
          <w:rtl w:val="true"/>
        </w:rPr>
        <w:t xml:space="preserve">, </w:t>
      </w:r>
      <w:r>
        <w:rPr>
          <w:rtl w:val="true"/>
        </w:rPr>
        <w:t xml:space="preserve">הרשעתו האחרונה משנת </w:t>
      </w:r>
      <w:r>
        <w:rPr/>
        <w:t>2022</w:t>
      </w:r>
      <w:r>
        <w:rPr>
          <w:rtl w:val="true"/>
        </w:rPr>
        <w:t xml:space="preserve"> </w:t>
      </w:r>
      <w:r>
        <w:rPr>
          <w:rtl w:val="true"/>
        </w:rPr>
        <w:t xml:space="preserve">הינה בגין עבירות אלימות וכליאת שווא ובגינה נדון למאסר בן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הרשעתו הנוספת</w:t>
      </w:r>
      <w:r>
        <w:rPr>
          <w:rtl w:val="true"/>
        </w:rPr>
        <w:t xml:space="preserve">, </w:t>
      </w:r>
      <w:r>
        <w:rPr>
          <w:rtl w:val="true"/>
        </w:rPr>
        <w:t xml:space="preserve">משנת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בגין עבירות נשק לרבות רכישת נשק ונשיאתו</w:t>
      </w:r>
      <w:r>
        <w:rPr>
          <w:rtl w:val="true"/>
        </w:rPr>
        <w:t xml:space="preserve">, </w:t>
      </w:r>
      <w:r>
        <w:rPr>
          <w:rtl w:val="true"/>
        </w:rPr>
        <w:t xml:space="preserve">הנאשם נדון למאסר בן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חודשים ולהפעלת תנאים ולמאסר כולל בן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לנאשם עבר תעבורתי  הכולל הרשעה בנהיגה בפסילה </w:t>
      </w:r>
      <w:r>
        <w:rPr>
          <w:rtl w:val="true"/>
        </w:rPr>
        <w:t>(</w:t>
      </w:r>
      <w:r>
        <w:rPr/>
        <w:t>2015</w:t>
      </w:r>
      <w:r>
        <w:rPr>
          <w:rtl w:val="true"/>
        </w:rPr>
        <w:t xml:space="preserve">) , </w:t>
      </w:r>
      <w:r>
        <w:rPr>
          <w:rtl w:val="true"/>
        </w:rPr>
        <w:t>נהיגה תחת שכרות ותחת השפעת סמים</w:t>
      </w:r>
      <w:r>
        <w:rPr>
          <w:rtl w:val="true"/>
        </w:rPr>
        <w:t>/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עברו הפלילי מלמד על מי שמעורב בפלילים</w:t>
      </w:r>
      <w:r>
        <w:rPr>
          <w:rtl w:val="true"/>
        </w:rPr>
        <w:t xml:space="preserve">, </w:t>
      </w:r>
      <w:r>
        <w:rPr>
          <w:rtl w:val="true"/>
        </w:rPr>
        <w:t>בעל דפוסי אלימות</w:t>
      </w:r>
      <w:r>
        <w:rPr>
          <w:rtl w:val="true"/>
        </w:rPr>
        <w:t xml:space="preserve">, </w:t>
      </w:r>
      <w:r>
        <w:rPr>
          <w:rtl w:val="true"/>
        </w:rPr>
        <w:t>הנאשם אף הפר תנאים מגבילים בהם היו נתון</w:t>
      </w:r>
      <w:r>
        <w:rPr>
          <w:rtl w:val="true"/>
        </w:rPr>
        <w:t xml:space="preserve">, </w:t>
      </w:r>
      <w:r>
        <w:rPr>
          <w:rtl w:val="true"/>
        </w:rPr>
        <w:t>והתנהלות זו המזלזלת בהוראות בית המשפט והחוק מצטרפת להרשעותיו בעבירות של נהיגה בפסילה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הנאשם נטל אחריות על מעשיו</w:t>
      </w:r>
      <w:r>
        <w:rPr>
          <w:rtl w:val="true"/>
        </w:rPr>
        <w:t xml:space="preserve">, </w:t>
      </w:r>
      <w:r>
        <w:rPr>
          <w:rtl w:val="true"/>
        </w:rPr>
        <w:t>כעולה מדברי סניגורו הינו בעל משפחה</w:t>
      </w:r>
      <w:r>
        <w:rPr>
          <w:rtl w:val="true"/>
        </w:rPr>
        <w:t xml:space="preserve">, </w:t>
      </w:r>
      <w:r>
        <w:rPr>
          <w:rtl w:val="true"/>
        </w:rPr>
        <w:t>מצוי במעצר תקופה ממושכת</w:t>
      </w:r>
      <w:r>
        <w:rPr>
          <w:rtl w:val="true"/>
        </w:rPr>
        <w:t xml:space="preserve">, </w:t>
      </w:r>
      <w:r>
        <w:rPr>
          <w:rtl w:val="true"/>
        </w:rPr>
        <w:t>ואף נולד לו ילד לאחרונה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1994</w:t>
      </w:r>
      <w:r>
        <w:rPr>
          <w:rtl w:val="true"/>
        </w:rPr>
        <w:t xml:space="preserve">, </w:t>
      </w:r>
      <w:r>
        <w:rPr>
          <w:rtl w:val="true"/>
        </w:rPr>
        <w:t>עברו הפלילי כולל ארבע הרשעות</w:t>
      </w:r>
      <w:r>
        <w:rPr>
          <w:rtl w:val="true"/>
        </w:rPr>
        <w:t xml:space="preserve">. </w:t>
      </w:r>
      <w:r>
        <w:rPr>
          <w:rtl w:val="true"/>
        </w:rPr>
        <w:t xml:space="preserve">הרשעתו האחרונה משנת </w:t>
      </w:r>
      <w:r>
        <w:rPr/>
        <w:t>2022</w:t>
      </w:r>
      <w:r>
        <w:rPr>
          <w:rtl w:val="true"/>
        </w:rPr>
        <w:t xml:space="preserve"> </w:t>
      </w:r>
      <w:r>
        <w:rPr>
          <w:rtl w:val="true"/>
        </w:rPr>
        <w:t xml:space="preserve">משותפת לנאשם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ובגינה נדון למאסר בן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45289-12-20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22.12.22</w:t>
      </w:r>
      <w:r>
        <w:rPr>
          <w:rtl w:val="true"/>
        </w:rPr>
        <w:t xml:space="preserve">). </w:t>
      </w:r>
      <w:r>
        <w:rPr>
          <w:rtl w:val="true"/>
        </w:rPr>
        <w:t>עוד הורשע בעבר בעבירות סמים ורכוש אך לא בעבירת נשק</w:t>
      </w:r>
      <w:r>
        <w:rPr>
          <w:rtl w:val="true"/>
        </w:rPr>
        <w:t xml:space="preserve">. </w:t>
      </w:r>
      <w:r>
        <w:rPr>
          <w:rtl w:val="true"/>
        </w:rPr>
        <w:t xml:space="preserve">לנאשם עבר תעבורתי שאינו קל </w:t>
      </w:r>
      <w:r>
        <w:rPr>
          <w:rtl w:val="true"/>
        </w:rPr>
        <w:t>(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) ,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הרשעה בנהיגה בקלות ראש ועבירות נלוות </w:t>
      </w:r>
      <w:r>
        <w:rPr>
          <w:rtl w:val="true"/>
        </w:rPr>
        <w:t>(</w:t>
      </w:r>
      <w:r>
        <w:rPr/>
        <w:t>2020</w:t>
      </w:r>
      <w:r>
        <w:rPr>
          <w:rtl w:val="true"/>
        </w:rPr>
        <w:t xml:space="preserve">) </w:t>
      </w:r>
      <w:r>
        <w:rPr>
          <w:rtl w:val="true"/>
        </w:rPr>
        <w:t>אך לא נדון בעבר לעונשי פסילה</w:t>
      </w:r>
      <w:r>
        <w:rPr>
          <w:rtl w:val="true"/>
        </w:rPr>
        <w:t xml:space="preserve">. </w:t>
      </w:r>
      <w:r>
        <w:rPr>
          <w:rtl w:val="true"/>
        </w:rPr>
        <w:t>אף נאשם זה בעל משפחה</w:t>
      </w:r>
      <w:r>
        <w:rPr>
          <w:rtl w:val="true"/>
        </w:rPr>
        <w:t xml:space="preserve">, </w:t>
      </w:r>
      <w:r>
        <w:rPr>
          <w:rtl w:val="true"/>
        </w:rPr>
        <w:t>עצור לראשונה בחייו לתקופה ממושכת</w:t>
      </w:r>
      <w:r>
        <w:rPr>
          <w:rtl w:val="true"/>
        </w:rPr>
        <w:t xml:space="preserve">, </w:t>
      </w:r>
      <w:r>
        <w:rPr>
          <w:rtl w:val="true"/>
        </w:rPr>
        <w:t>והביע צער וחרטה על מעשיו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לאחר ששקלתי את כלל השיקולים</w:t>
      </w:r>
      <w:r>
        <w:rPr>
          <w:rtl w:val="true"/>
        </w:rPr>
        <w:t xml:space="preserve">, </w:t>
      </w:r>
      <w:r>
        <w:rPr>
          <w:rtl w:val="true"/>
        </w:rPr>
        <w:t xml:space="preserve">באשר לנאשם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בהנתן עברו  הפלילי והרשעתו בעבר בעבירות נשק</w:t>
      </w:r>
      <w:r>
        <w:rPr>
          <w:rtl w:val="true"/>
        </w:rPr>
        <w:t xml:space="preserve">, </w:t>
      </w:r>
      <w:r>
        <w:rPr>
          <w:rtl w:val="true"/>
        </w:rPr>
        <w:t>אמקמו בחלק המרכזי של מתחם הענישה</w:t>
      </w:r>
      <w:r>
        <w:rPr>
          <w:rtl w:val="true"/>
        </w:rPr>
        <w:t xml:space="preserve">. </w:t>
      </w:r>
      <w:r>
        <w:rPr>
          <w:rtl w:val="true"/>
        </w:rPr>
        <w:t>בהתאם לעתירת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אגזור על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עונש מאסר הפחות ממחצית עונשו של 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אשר לענישה נלווית</w:t>
      </w:r>
      <w:r>
        <w:rPr>
          <w:rtl w:val="true"/>
        </w:rPr>
        <w:t xml:space="preserve">, </w:t>
      </w:r>
      <w:r>
        <w:rPr>
          <w:rtl w:val="true"/>
        </w:rPr>
        <w:t>הנאשמים פגעו בשלוות חייו של נפגע העבירה וברכוש משפחתו ועל כן יושת עליהם פיצוי ראוי</w:t>
      </w:r>
      <w:r>
        <w:rPr>
          <w:rtl w:val="true"/>
        </w:rPr>
        <w:t xml:space="preserve">. </w:t>
      </w:r>
      <w:r>
        <w:rPr>
          <w:rtl w:val="true"/>
        </w:rPr>
        <w:t>המנעותו של נפגע העבירה מלהגיש הצהרת נפגע נבעה בעיקר מחששו הרב מהנאשמים</w:t>
      </w:r>
      <w:r>
        <w:rPr>
          <w:rtl w:val="true"/>
        </w:rPr>
        <w:t xml:space="preserve">. </w:t>
      </w:r>
      <w:r>
        <w:rPr>
          <w:rtl w:val="true"/>
        </w:rPr>
        <w:t xml:space="preserve">אשר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שהורשע בעבירת תעבורה חמורה</w:t>
      </w:r>
      <w:r>
        <w:rPr>
          <w:rtl w:val="true"/>
        </w:rPr>
        <w:t xml:space="preserve">, </w:t>
      </w:r>
      <w:r>
        <w:rPr>
          <w:rtl w:val="true"/>
        </w:rPr>
        <w:t>מאחר שהמאשימה לא עתרה לפסילת רשיונו</w:t>
      </w:r>
      <w:r>
        <w:rPr>
          <w:rtl w:val="true"/>
        </w:rPr>
        <w:t xml:space="preserve">, </w:t>
      </w:r>
      <w:r>
        <w:rPr>
          <w:rtl w:val="true"/>
        </w:rPr>
        <w:t>אסתפק בענישה של פסילה על תנאי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b/>
          <w:b/>
          <w:bCs/>
          <w:u w:val="single"/>
          <w:rtl w:val="true"/>
        </w:rPr>
        <w:t>סוף דבר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 גוזרת על הנאשמים את העונשים הבאים</w:t>
      </w:r>
      <w:r>
        <w:rPr>
          <w:b/>
          <w:bCs/>
          <w:rtl w:val="true"/>
        </w:rPr>
        <w:t>: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-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480" w:before="0" w:after="160"/>
        <w:ind w:hanging="360" w:start="1080" w:end="0"/>
        <w:contextualSpacing/>
        <w:jc w:val="both"/>
        <w:rPr/>
      </w:pP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מעצרו </w:t>
      </w:r>
      <w:r>
        <w:rPr/>
        <w:t>16.11.22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48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אלימות מסוג פשע או עבירת נשק </w:t>
      </w:r>
      <w:r>
        <w:rPr>
          <w:rtl w:val="true"/>
        </w:rPr>
        <w:t xml:space="preserve">, </w:t>
      </w:r>
      <w:r>
        <w:rPr>
          <w:rtl w:val="true"/>
        </w:rPr>
        <w:t>לרבות שימוש בו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48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עבירת אלימות מסוג עוון או עבירה של הפרת הוראה חוקית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48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3000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 xml:space="preserve">ימי מאסר שישולם עד ליום </w:t>
      </w:r>
      <w:r>
        <w:rPr/>
        <w:t>1.12.23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480" w:before="0" w:after="160"/>
        <w:ind w:hanging="360" w:start="1080" w:end="0"/>
        <w:contextualSpacing/>
        <w:jc w:val="both"/>
        <w:rPr/>
      </w:pPr>
      <w:r>
        <w:rPr>
          <w:rtl w:val="true"/>
        </w:rPr>
        <w:t>פיצוי לע</w:t>
      </w:r>
      <w:r>
        <w:rPr>
          <w:rtl w:val="true"/>
        </w:rPr>
        <w:t>"</w:t>
      </w:r>
      <w:r>
        <w:rPr>
          <w:rtl w:val="true"/>
        </w:rPr>
        <w:t xml:space="preserve">ת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 xml:space="preserve">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שישולם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ורצופים החל מיום </w:t>
      </w:r>
      <w:r>
        <w:rPr/>
        <w:t>1.11.23</w:t>
      </w:r>
      <w:r>
        <w:rPr>
          <w:rtl w:val="true"/>
        </w:rPr>
        <w:t>.</w:t>
      </w:r>
    </w:p>
    <w:p>
      <w:pPr>
        <w:pStyle w:val="Normal"/>
        <w:spacing w:lineRule="auto" w:line="480" w:before="0" w:after="1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ListParagraph"/>
        <w:numPr>
          <w:ilvl w:val="0"/>
          <w:numId w:val="2"/>
        </w:numPr>
        <w:spacing w:lineRule="auto" w:line="48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בן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החל מיום מעצרו </w:t>
      </w:r>
      <w:r>
        <w:rPr/>
        <w:t>16.11.22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48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אלימות מסוג פשע או עבירת נשק </w:t>
      </w:r>
      <w:r>
        <w:rPr>
          <w:rtl w:val="true"/>
        </w:rPr>
        <w:t xml:space="preserve">, </w:t>
      </w:r>
      <w:r>
        <w:rPr>
          <w:rtl w:val="true"/>
        </w:rPr>
        <w:t>לרבות שימוש בו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48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עבירת אלימות מסוג עוון או עבירה של הפרת הוראה חוקית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48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ימי מאסר שישולם עד ליום </w:t>
      </w:r>
      <w:r>
        <w:rPr/>
        <w:t>1.12.23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480" w:before="0" w:after="160"/>
        <w:ind w:hanging="360" w:start="1080" w:end="0"/>
        <w:contextualSpacing/>
        <w:jc w:val="both"/>
        <w:rPr/>
      </w:pPr>
      <w:r>
        <w:rPr>
          <w:rtl w:val="true"/>
        </w:rPr>
        <w:t>פיצוי לע</w:t>
      </w:r>
      <w:r>
        <w:rPr>
          <w:rtl w:val="true"/>
        </w:rPr>
        <w:t>"</w:t>
      </w:r>
      <w:r>
        <w:rPr>
          <w:rtl w:val="true"/>
        </w:rPr>
        <w:t xml:space="preserve">ת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 xml:space="preserve">בסך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שישולם 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ורצופים החל מיום </w:t>
      </w:r>
      <w:r>
        <w:rPr/>
        <w:t>1.10.23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48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פוסלת את הנאשם מלנהוג למשך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 ככל שיעבור עבירה של נהיגה פוחזת או נהיגה בקלות ראש במשך שנתיים מיום שחרורו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b/>
          <w:bCs/>
          <w:spacing w:val="0"/>
          <w:sz w:val="24"/>
          <w:szCs w:val="24"/>
        </w:rPr>
      </w:pP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אב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אוגוסט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4734-12-22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נאסר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" w:hAnsi="Arial TUR" w:cs="FrankRuehl"/>
      <w:spacing w:val="10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Calibri" w:cs="FrankRuehl"/>
      <w:spacing w:val="10"/>
      <w:sz w:val="22"/>
      <w:szCs w:val="28"/>
    </w:rPr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ruller411">
    <w:name w:val="ruller41"/>
    <w:basedOn w:val="Normal"/>
    <w:qFormat/>
    <w:pPr>
      <w:bidi w:val="0"/>
      <w:spacing w:before="280" w:after="280"/>
    </w:pPr>
    <w:rPr>
      <w:rFonts w:cs="Times New Roman"/>
    </w:rPr>
  </w:style>
  <w:style w:type="paragraph" w:styleId="ruller5">
    <w:name w:val="ruller5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87" TargetMode="External"/><Relationship Id="rId7" Type="http://schemas.openxmlformats.org/officeDocument/2006/relationships/hyperlink" Target="http://www.nevo.co.il/law/70301/340.a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/340a.b.1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62.2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0a.b.1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/287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31" TargetMode="External"/><Relationship Id="rId19" Type="http://schemas.openxmlformats.org/officeDocument/2006/relationships/hyperlink" Target="http://www.nevo.co.il/law/70301/340a.b.1" TargetMode="External"/><Relationship Id="rId20" Type="http://schemas.openxmlformats.org/officeDocument/2006/relationships/hyperlink" Target="http://www.nevo.co.il/law/70301/31" TargetMode="External"/><Relationship Id="rId21" Type="http://schemas.openxmlformats.org/officeDocument/2006/relationships/hyperlink" Target="http://www.nevo.co.il/law/70301/287" TargetMode="External"/><Relationship Id="rId22" Type="http://schemas.openxmlformats.org/officeDocument/2006/relationships/hyperlink" Target="http://www.nevo.co.il/law/5227/62.2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case/28268880" TargetMode="External"/><Relationship Id="rId25" Type="http://schemas.openxmlformats.org/officeDocument/2006/relationships/hyperlink" Target="http://www.nevo.co.il/case/28513828" TargetMode="External"/><Relationship Id="rId26" Type="http://schemas.openxmlformats.org/officeDocument/2006/relationships/hyperlink" Target="http://www.nevo.co.il/case/27894608" TargetMode="External"/><Relationship Id="rId27" Type="http://schemas.openxmlformats.org/officeDocument/2006/relationships/hyperlink" Target="http://www.nevo.co.il/case/27911638" TargetMode="External"/><Relationship Id="rId28" Type="http://schemas.openxmlformats.org/officeDocument/2006/relationships/hyperlink" Target="http://www.nevo.co.il/case/28152132" TargetMode="External"/><Relationship Id="rId29" Type="http://schemas.openxmlformats.org/officeDocument/2006/relationships/hyperlink" Target="http://www.nevo.co.il/case/28452933" TargetMode="External"/><Relationship Id="rId30" Type="http://schemas.openxmlformats.org/officeDocument/2006/relationships/hyperlink" Target="http://www.nevo.co.il/case/27305799" TargetMode="External"/><Relationship Id="rId31" Type="http://schemas.openxmlformats.org/officeDocument/2006/relationships/hyperlink" Target="http://www.nevo.co.il/case/28660017" TargetMode="External"/><Relationship Id="rId32" Type="http://schemas.openxmlformats.org/officeDocument/2006/relationships/hyperlink" Target="http://www.nevo.co.il/law/70301/340a" TargetMode="External"/><Relationship Id="rId33" Type="http://schemas.openxmlformats.org/officeDocument/2006/relationships/hyperlink" Target="http://www.nevo.co.il/case/7697292" TargetMode="External"/><Relationship Id="rId34" Type="http://schemas.openxmlformats.org/officeDocument/2006/relationships/hyperlink" Target="http://www.nevo.co.il/case/22242436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8096675" TargetMode="External"/><Relationship Id="rId37" Type="http://schemas.openxmlformats.org/officeDocument/2006/relationships/hyperlink" Target="http://www.nevo.co.il/case/27436592" TargetMode="External"/><Relationship Id="rId38" Type="http://schemas.openxmlformats.org/officeDocument/2006/relationships/hyperlink" Target="http://www.nevo.co.il/case/27603872" TargetMode="External"/><Relationship Id="rId39" Type="http://schemas.openxmlformats.org/officeDocument/2006/relationships/hyperlink" Target="http://www.nevo.co.il/case/26492590" TargetMode="External"/><Relationship Id="rId40" Type="http://schemas.openxmlformats.org/officeDocument/2006/relationships/hyperlink" Target="http://www.nevo.co.il/case/28384638" TargetMode="External"/><Relationship Id="rId41" Type="http://schemas.openxmlformats.org/officeDocument/2006/relationships/hyperlink" Target="http://www.nevo.co.il/case/27404359" TargetMode="External"/><Relationship Id="rId42" Type="http://schemas.openxmlformats.org/officeDocument/2006/relationships/hyperlink" Target="http://www.nevo.co.il/law/70301/340.a" TargetMode="External"/><Relationship Id="rId43" Type="http://schemas.openxmlformats.org/officeDocument/2006/relationships/hyperlink" Target="http://www.nevo.co.il/case/28152125" TargetMode="External"/><Relationship Id="rId44" Type="http://schemas.openxmlformats.org/officeDocument/2006/relationships/hyperlink" Target="http://www.nevo.co.il/case/28096677" TargetMode="External"/><Relationship Id="rId45" Type="http://schemas.openxmlformats.org/officeDocument/2006/relationships/hyperlink" Target="http://www.nevo.co.il/case/27254208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2024-08-26T14:20:00Z</dcterms:created>
  <dc:creator> </dc:creator>
  <dc:description/>
  <cp:keywords/>
  <dc:language>en-IL</dc:language>
  <cp:lastModifiedBy>h1</cp:lastModifiedBy>
  <dcterms:modified xsi:type="dcterms:W3CDTF">2024-08-26T14:20:00Z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נאסר;חוסיין בשארה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28268880;28513828;27894608;27911638;28152132;28452933;27305799;28660017;7697292;22242436;28096675;27436592;27603872;26492590;28384638;27404359;28152125;28096677;27254208</vt:lpwstr>
  </property>
  <property fmtid="{D5CDD505-2E9C-101B-9397-08002B2CF9AE}" pid="9" name="CITY">
    <vt:lpwstr>מרכז</vt:lpwstr>
  </property>
  <property fmtid="{D5CDD505-2E9C-101B-9397-08002B2CF9AE}" pid="10" name="DATE">
    <vt:lpwstr>20230808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70301/144.b:2;340a.b.1:2;192;287:2;031:2;340a;340.a</vt:lpwstr>
  </property>
  <property fmtid="{D5CDD505-2E9C-101B-9397-08002B2CF9AE}" pid="15" name="LAWLISTTMP2">
    <vt:lpwstr>5227/062.2</vt:lpwstr>
  </property>
  <property fmtid="{D5CDD505-2E9C-101B-9397-08002B2CF9AE}" pid="16" name="LAWYER">
    <vt:lpwstr>שירה מוהר;איהאב ג'לג'ולי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4734</vt:lpwstr>
  </property>
  <property fmtid="{D5CDD505-2E9C-101B-9397-08002B2CF9AE}" pid="23" name="NEWPARTB">
    <vt:lpwstr>12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390020230808</vt:lpwstr>
  </property>
  <property fmtid="{D5CDD505-2E9C-101B-9397-08002B2CF9AE}" pid="35" name="TYPE_N_DATE">
    <vt:lpwstr>39020230808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