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871"/>
        <w:gridCol w:w="3079"/>
        <w:gridCol w:w="1108"/>
        <w:gridCol w:w="3302"/>
        <w:gridCol w:w="361"/>
      </w:tblGrid>
      <w:tr>
        <w:trPr>
          <w:trHeight w:val="418" w:hRule="exact"/>
        </w:trPr>
        <w:tc>
          <w:tcPr>
            <w:tcW w:w="8721" w:type="dxa"/>
            <w:gridSpan w:val="5"/>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47348-11-21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אלרוב</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gridSpan w:val="2"/>
            <w:tcBorders/>
          </w:tcPr>
          <w:p>
            <w:pPr>
              <w:pStyle w:val="Header"/>
              <w:snapToGrid w:val="false"/>
              <w:ind w:end="0"/>
              <w:jc w:val="end"/>
              <w:rPr>
                <w:rFonts w:cs="FrankRuehl"/>
                <w:sz w:val="28"/>
                <w:szCs w:val="28"/>
              </w:rPr>
            </w:pPr>
            <w:r>
              <w:rPr>
                <w:rFonts w:cs="FrankRuehl"/>
                <w:sz w:val="28"/>
                <w:szCs w:val="28"/>
                <w:rtl w:val="true"/>
              </w:rPr>
            </w:r>
          </w:p>
        </w:tc>
      </w:tr>
      <w:tr>
        <w:trPr>
          <w:trHeight w:val="295" w:hRule="atLeast"/>
        </w:trPr>
        <w:tc>
          <w:tcPr>
            <w:tcW w:w="871"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489" w:type="dxa"/>
            <w:gridSpan w:val="3"/>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דניאל פיש</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c>
          <w:tcPr>
            <w:tcW w:w="361"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07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410" w:type="dxa"/>
            <w:gridSpan w:val="2"/>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p>
          <w:p>
            <w:pPr>
              <w:pStyle w:val="Normal"/>
              <w:ind w:end="0"/>
              <w:jc w:val="start"/>
              <w:rPr>
                <w:rFonts w:ascii="David" w:hAnsi="David" w:cs="David"/>
                <w:sz w:val="26"/>
                <w:szCs w:val="26"/>
              </w:rPr>
            </w:pPr>
            <w:r>
              <w:rPr>
                <w:rFonts w:cs="David" w:ascii="David" w:hAnsi="David"/>
                <w:sz w:val="26"/>
                <w:szCs w:val="26"/>
                <w:rtl w:val="true"/>
              </w:rPr>
            </w:r>
          </w:p>
        </w:tc>
        <w:tc>
          <w:tcPr>
            <w:tcW w:w="361"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r>
        <w:trPr>
          <w:trHeight w:val="614" w:hRule="atLeast"/>
        </w:trPr>
        <w:tc>
          <w:tcPr>
            <w:tcW w:w="8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489" w:type="dxa"/>
            <w:gridSpan w:val="3"/>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c>
          <w:tcPr>
            <w:tcW w:w="361"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07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w:t>
            </w:r>
            <w:r>
              <w:rPr>
                <w:rFonts w:ascii="Arial" w:hAnsi="Arial" w:cs="Arial"/>
                <w:b/>
                <w:b/>
                <w:bCs/>
                <w:sz w:val="26"/>
                <w:sz w:val="26"/>
                <w:szCs w:val="26"/>
                <w:rtl w:val="true"/>
              </w:rPr>
              <w:t>ם</w:t>
            </w:r>
          </w:p>
        </w:tc>
        <w:tc>
          <w:tcPr>
            <w:tcW w:w="4410" w:type="dxa"/>
            <w:gridSpan w:val="2"/>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אחמד אבו אלרוב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ind w:end="0"/>
              <w:jc w:val="start"/>
              <w:rPr>
                <w:rFonts w:ascii="David" w:hAnsi="David" w:cs="David"/>
                <w:sz w:val="26"/>
                <w:szCs w:val="26"/>
              </w:rPr>
            </w:pPr>
            <w:r>
              <w:rPr>
                <w:rFonts w:cs="David" w:ascii="David" w:hAnsi="David"/>
                <w:sz w:val="26"/>
                <w:szCs w:val="26"/>
                <w:rtl w:val="true"/>
              </w:rPr>
            </w:r>
          </w:p>
        </w:tc>
        <w:tc>
          <w:tcPr>
            <w:tcW w:w="361" w:type="dxa"/>
            <w:tcBorders/>
            <w:tcMar>
              <w:start w:w="0" w:type="dxa"/>
              <w:end w:w="0" w:type="dxa"/>
            </w:tcMar>
          </w:tcPr>
          <w:p>
            <w:pPr>
              <w:pStyle w:val="Normal"/>
              <w:snapToGrid w:val="false"/>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p>
      <w:pPr>
        <w:pStyle w:val="Normal"/>
        <w:ind w:end="0"/>
        <w:jc w:val="both"/>
        <w:rPr>
          <w:rFonts w:ascii="David" w:hAnsi="David" w:cs="David"/>
          <w:sz w:val="26"/>
          <w:szCs w:val="26"/>
        </w:rPr>
      </w:pPr>
      <w:bookmarkStart w:id="2" w:name="FirstLawyer"/>
      <w:r>
        <w:rPr>
          <w:rFonts w:ascii="David" w:hAnsi="David"/>
          <w:sz w:val="26"/>
          <w:sz w:val="26"/>
          <w:szCs w:val="26"/>
          <w:rtl w:val="true"/>
        </w:rPr>
        <w:t>בשם</w:t>
      </w:r>
      <w:bookmarkEnd w:id="2"/>
      <w:r>
        <w:rPr>
          <w:rFonts w:ascii="David" w:hAnsi="David"/>
          <w:sz w:val="26"/>
          <w:sz w:val="26"/>
          <w:szCs w:val="26"/>
          <w:rtl w:val="true"/>
        </w:rPr>
        <w:t xml:space="preserve"> המאשימה</w:t>
      </w:r>
      <w:r>
        <w:rPr>
          <w:rFonts w:cs="David" w:ascii="David" w:hAnsi="David"/>
          <w:sz w:val="26"/>
          <w:szCs w:val="26"/>
          <w:rtl w:val="true"/>
        </w:rPr>
        <w:t xml:space="preserve">: </w:t>
      </w: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 xml:space="preserve">ד ריאד רחאל </w:t>
      </w:r>
      <w:r>
        <w:rPr>
          <w:rFonts w:ascii="David" w:hAnsi="David"/>
          <w:sz w:val="26"/>
          <w:sz w:val="26"/>
          <w:szCs w:val="26"/>
          <w:rtl w:val="true"/>
        </w:rPr>
        <w:t>–</w:t>
      </w:r>
      <w:r>
        <w:rPr>
          <w:rFonts w:ascii="David" w:hAnsi="David"/>
          <w:sz w:val="26"/>
          <w:sz w:val="26"/>
          <w:szCs w:val="26"/>
          <w:rtl w:val="true"/>
        </w:rPr>
        <w:t xml:space="preserve"> פמ</w:t>
      </w:r>
      <w:r>
        <w:rPr>
          <w:rFonts w:cs="David" w:ascii="David" w:hAnsi="David"/>
          <w:sz w:val="26"/>
          <w:szCs w:val="26"/>
          <w:rtl w:val="true"/>
        </w:rPr>
        <w:t>"</w:t>
      </w:r>
      <w:r>
        <w:rPr>
          <w:rFonts w:ascii="David" w:hAnsi="David"/>
          <w:sz w:val="26"/>
          <w:sz w:val="26"/>
          <w:szCs w:val="26"/>
          <w:rtl w:val="true"/>
        </w:rPr>
        <w:t>ח פלילי</w:t>
      </w:r>
    </w:p>
    <w:p>
      <w:pPr>
        <w:pStyle w:val="Normal"/>
        <w:ind w:end="0"/>
        <w:jc w:val="start"/>
        <w:rPr>
          <w:sz w:val="26"/>
          <w:szCs w:val="26"/>
        </w:rPr>
      </w:pPr>
      <w:r>
        <w:rPr>
          <w:rFonts w:ascii="David" w:hAnsi="David"/>
          <w:sz w:val="26"/>
          <w:sz w:val="26"/>
          <w:szCs w:val="26"/>
          <w:rtl w:val="true"/>
        </w:rPr>
        <w:t>בשם הנאשם</w:t>
      </w:r>
      <w:r>
        <w:rPr>
          <w:rFonts w:cs="David" w:ascii="David" w:hAnsi="David"/>
          <w:sz w:val="26"/>
          <w:szCs w:val="26"/>
          <w:rtl w:val="true"/>
        </w:rPr>
        <w:t xml:space="preserve">: </w:t>
      </w:r>
      <w:r>
        <w:rPr>
          <w:rFonts w:ascii="David" w:hAnsi="David"/>
          <w:sz w:val="26"/>
          <w:sz w:val="26"/>
          <w:szCs w:val="26"/>
          <w:rtl w:val="true"/>
        </w:rPr>
        <w:t>עו</w:t>
      </w:r>
      <w:r>
        <w:rPr>
          <w:rFonts w:cs="David" w:ascii="David" w:hAnsi="David"/>
          <w:sz w:val="26"/>
          <w:szCs w:val="26"/>
          <w:rtl w:val="true"/>
        </w:rPr>
        <w:t>"</w:t>
      </w:r>
      <w:r>
        <w:rPr>
          <w:rFonts w:ascii="David" w:hAnsi="David"/>
          <w:sz w:val="26"/>
          <w:sz w:val="26"/>
          <w:szCs w:val="26"/>
          <w:rtl w:val="true"/>
        </w:rPr>
        <w:t>ד תמי אולמן ועו</w:t>
      </w:r>
      <w:r>
        <w:rPr>
          <w:rFonts w:cs="David" w:ascii="David" w:hAnsi="David"/>
          <w:sz w:val="26"/>
          <w:szCs w:val="26"/>
          <w:rtl w:val="true"/>
        </w:rPr>
        <w:t>"</w:t>
      </w:r>
      <w:r>
        <w:rPr>
          <w:rFonts w:ascii="David" w:hAnsi="David"/>
          <w:sz w:val="26"/>
          <w:sz w:val="26"/>
          <w:szCs w:val="26"/>
          <w:rtl w:val="true"/>
        </w:rPr>
        <w:t>ד שאדי סרוג</w:t>
      </w:r>
      <w:r>
        <w:rPr>
          <w:rFonts w:cs="David" w:ascii="David" w:hAnsi="David"/>
          <w:sz w:val="26"/>
          <w:szCs w:val="26"/>
          <w:rtl w:val="true"/>
        </w:rPr>
        <w:t>'</w:t>
      </w:r>
      <w:r>
        <w:rPr>
          <w:rFonts w:ascii="David" w:hAnsi="David"/>
          <w:sz w:val="26"/>
          <w:sz w:val="26"/>
          <w:szCs w:val="26"/>
          <w:rtl w:val="true"/>
        </w:rPr>
        <w:t>י</w:t>
      </w:r>
    </w:p>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32"/>
          <w:szCs w:val="32"/>
        </w:rPr>
      </w:pPr>
      <w:r>
        <w:rPr>
          <w:rFonts w:cs="David" w:ascii="David" w:hAnsi="David"/>
          <w:sz w:val="32"/>
          <w:szCs w:val="32"/>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center"/>
        <w:rPr>
          <w:rFonts w:ascii="David" w:hAnsi="David" w:cs="David"/>
          <w:sz w:val="32"/>
          <w:szCs w:val="32"/>
        </w:rPr>
      </w:pPr>
      <w:r>
        <w:rPr>
          <w:rFonts w:cs="David" w:ascii="David" w:hAnsi="David"/>
          <w:sz w:val="32"/>
          <w:szCs w:val="32"/>
          <w:rtl w:val="true"/>
        </w:rPr>
      </w:r>
      <w:bookmarkStart w:id="5" w:name="LawTable_End"/>
      <w:bookmarkStart w:id="6" w:name="LawTable_End"/>
      <w:bookmarkEnd w:id="6"/>
    </w:p>
    <w:p>
      <w:pPr>
        <w:pStyle w:val="Normal"/>
        <w:ind w:end="0"/>
        <w:jc w:val="center"/>
        <w:rPr>
          <w:rFonts w:ascii="David" w:hAnsi="David" w:cs="David"/>
          <w:sz w:val="32"/>
          <w:szCs w:val="32"/>
        </w:rPr>
      </w:pPr>
      <w:r>
        <w:rPr>
          <w:rFonts w:cs="David" w:ascii="David" w:hAnsi="David"/>
          <w:sz w:val="32"/>
          <w:szCs w:val="32"/>
          <w:rtl w:val="true"/>
        </w:rPr>
      </w:r>
    </w:p>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bookmarkStart w:id="8" w:name="PsakDin"/>
      <w:bookmarkStart w:id="9" w:name="PsakDin"/>
      <w:bookmarkEnd w:id="9"/>
    </w:p>
    <w:p>
      <w:pPr>
        <w:pStyle w:val="Normal"/>
        <w:spacing w:lineRule="auto" w:line="360"/>
        <w:ind w:start="360" w:end="0"/>
        <w:jc w:val="both"/>
        <w:rPr>
          <w:rFonts w:ascii="Arial" w:hAnsi="Arial" w:cs="Arial"/>
          <w:sz w:val="32"/>
          <w:szCs w:val="32"/>
          <w:u w:val="single"/>
        </w:rPr>
      </w:pPr>
      <w:r>
        <w:rPr>
          <w:rFonts w:cs="Arial" w:ascii="Arial" w:hAnsi="Arial"/>
          <w:sz w:val="32"/>
          <w:szCs w:val="32"/>
          <w:u w:val="single"/>
          <w:rtl w:val="true"/>
        </w:rPr>
      </w:r>
    </w:p>
    <w:p>
      <w:pPr>
        <w:pStyle w:val="ListParagraph"/>
        <w:numPr>
          <w:ilvl w:val="0"/>
          <w:numId w:val="1"/>
        </w:numPr>
        <w:spacing w:lineRule="auto" w:line="360"/>
        <w:ind w:hanging="360" w:start="720" w:end="0"/>
        <w:jc w:val="both"/>
        <w:rPr>
          <w:rFonts w:ascii="Arial" w:hAnsi="Arial" w:cs="Arial"/>
        </w:rPr>
      </w:pPr>
      <w:bookmarkStart w:id="10" w:name="ABSTRACT_START"/>
      <w:bookmarkEnd w:id="10"/>
      <w:r>
        <w:rPr>
          <w:rFonts w:ascii="Arial" w:hAnsi="Arial" w:cs="Arial"/>
          <w:rtl w:val="true"/>
        </w:rPr>
        <w:t>הנאשם הורשע על פי הודאתו בכתב אישום מתוקן בעבירות של החזקה של נשק שלא כדין והחזקה של אביזר לנשק שלא כדין</w:t>
      </w:r>
      <w:r>
        <w:rPr>
          <w:rFonts w:cs="Arial" w:ascii="Arial" w:hAnsi="Arial"/>
          <w:rtl w:val="true"/>
        </w:rPr>
        <w:t xml:space="preserve">, </w:t>
      </w:r>
      <w:r>
        <w:rPr>
          <w:rFonts w:ascii="Arial" w:hAnsi="Arial" w:cs="Arial"/>
          <w:rtl w:val="true"/>
        </w:rPr>
        <w:t xml:space="preserve">לפי </w:t>
      </w:r>
      <w:hyperlink r:id="rId4">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וסיפא ל</w:t>
      </w:r>
      <w:hyperlink r:id="rId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bookmarkStart w:id="11" w:name="ABSTRACT_END"/>
      <w:bookmarkStart w:id="12" w:name="ABSTRACT_END"/>
      <w:bookmarkEnd w:id="12"/>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על פי האמור בכתב האישום המתוקן</w:t>
      </w:r>
      <w:r>
        <w:rPr>
          <w:rFonts w:cs="Arial" w:ascii="Arial" w:hAnsi="Arial"/>
          <w:rtl w:val="true"/>
        </w:rPr>
        <w:t xml:space="preserve">, </w:t>
      </w:r>
      <w:r>
        <w:rPr>
          <w:rFonts w:ascii="Arial" w:hAnsi="Arial" w:cs="Arial"/>
          <w:rtl w:val="true"/>
        </w:rPr>
        <w:t>במועד הרלוונטי לכתב האישום</w:t>
      </w:r>
      <w:r>
        <w:rPr>
          <w:rFonts w:cs="Arial" w:ascii="Arial" w:hAnsi="Arial"/>
          <w:rtl w:val="true"/>
        </w:rPr>
        <w:t xml:space="preserve">, </w:t>
      </w:r>
      <w:r>
        <w:rPr>
          <w:rFonts w:ascii="Arial" w:hAnsi="Arial" w:cs="Arial"/>
          <w:rtl w:val="true"/>
        </w:rPr>
        <w:t>רכב טיוטה הרשום על שם ח</w:t>
      </w:r>
      <w:r>
        <w:rPr>
          <w:rFonts w:cs="Arial" w:ascii="Arial" w:hAnsi="Arial"/>
          <w:rtl w:val="true"/>
        </w:rPr>
        <w:t>'</w:t>
      </w:r>
      <w:r>
        <w:rPr>
          <w:rFonts w:ascii="Arial" w:hAnsi="Arial" w:cs="Arial"/>
          <w:rtl w:val="true"/>
        </w:rPr>
        <w:t>ולוד קאסם</w:t>
      </w:r>
      <w:r>
        <w:rPr>
          <w:rFonts w:cs="Arial" w:ascii="Arial" w:hAnsi="Arial"/>
          <w:rtl w:val="true"/>
        </w:rPr>
        <w:t xml:space="preserve">, </w:t>
      </w:r>
      <w:r>
        <w:rPr>
          <w:rFonts w:ascii="Arial" w:hAnsi="Arial" w:cs="Arial"/>
          <w:rtl w:val="true"/>
        </w:rPr>
        <w:t>גיסתו של הנאשם נמצא בשימושו ובשליטתו של הנאשם</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 xml:space="preserve">בתאריך </w:t>
      </w:r>
      <w:r>
        <w:rPr>
          <w:rFonts w:cs="Arial" w:ascii="Arial" w:hAnsi="Arial"/>
        </w:rPr>
        <w:t>31.10.21</w:t>
      </w:r>
      <w:r>
        <w:rPr>
          <w:rFonts w:cs="Arial" w:ascii="Arial" w:hAnsi="Arial"/>
          <w:rtl w:val="true"/>
        </w:rPr>
        <w:t xml:space="preserve"> </w:t>
      </w:r>
      <w:r>
        <w:rPr>
          <w:rFonts w:ascii="Arial" w:hAnsi="Arial" w:cs="Arial"/>
          <w:rtl w:val="true"/>
        </w:rPr>
        <w:t xml:space="preserve">סמוך לשעה </w:t>
      </w:r>
      <w:r>
        <w:rPr>
          <w:rFonts w:cs="Arial" w:ascii="Arial" w:hAnsi="Arial"/>
        </w:rPr>
        <w:t>23:10</w:t>
      </w:r>
      <w:r>
        <w:rPr>
          <w:rFonts w:cs="Arial" w:ascii="Arial" w:hAnsi="Arial"/>
          <w:rtl w:val="true"/>
        </w:rPr>
        <w:t xml:space="preserve">, </w:t>
      </w:r>
      <w:r>
        <w:rPr>
          <w:rFonts w:ascii="Arial" w:hAnsi="Arial" w:cs="Arial"/>
          <w:rtl w:val="true"/>
        </w:rPr>
        <w:t xml:space="preserve">הנאשם נהג ברכב ונעצר על ידי המשטרה בכביש </w:t>
      </w:r>
      <w:r>
        <w:rPr>
          <w:rFonts w:cs="Arial" w:ascii="Arial" w:hAnsi="Arial"/>
        </w:rPr>
        <w:t>66</w:t>
      </w:r>
      <w:r>
        <w:rPr>
          <w:rFonts w:cs="Arial" w:ascii="Arial" w:hAnsi="Arial"/>
          <w:rtl w:val="true"/>
        </w:rPr>
        <w:t xml:space="preserve"> </w:t>
      </w:r>
      <w:r>
        <w:rPr>
          <w:rFonts w:ascii="Arial" w:hAnsi="Arial" w:cs="Arial"/>
          <w:rtl w:val="true"/>
        </w:rPr>
        <w:t>כשהוא מחזיק ברכב שקית שהכילה חפץ דמוי תת מקלע מאולתר ובתוכו מחסנית ריקה וזאת ללא רשות על פי הדין</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החפץ דמוי תת מקלע מאולתר</w:t>
      </w:r>
      <w:r>
        <w:rPr>
          <w:rFonts w:cs="Arial" w:ascii="Arial" w:hAnsi="Arial"/>
          <w:rtl w:val="true"/>
        </w:rPr>
        <w:t xml:space="preserve">, </w:t>
      </w:r>
      <w:r>
        <w:rPr>
          <w:rFonts w:ascii="Arial" w:hAnsi="Arial" w:cs="Arial"/>
          <w:rtl w:val="true"/>
        </w:rPr>
        <w:t>יורה ובכוחו להמית אדם</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המאשימה</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נטען כי לחובתו של הנאשם הרשעה קודמת אחת בגין ביצוע עבירת שבל</w:t>
      </w:r>
      <w:r>
        <w:rPr>
          <w:rFonts w:cs="Arial" w:ascii="Arial" w:hAnsi="Arial"/>
          <w:rtl w:val="true"/>
        </w:rPr>
        <w:t>"</w:t>
      </w:r>
      <w:r>
        <w:rPr>
          <w:rFonts w:ascii="Arial" w:hAnsi="Arial" w:cs="Arial"/>
          <w:rtl w:val="true"/>
        </w:rPr>
        <w:t xml:space="preserve">ר משנת </w:t>
      </w:r>
      <w:r>
        <w:rPr>
          <w:rFonts w:cs="Arial" w:ascii="Arial" w:hAnsi="Arial"/>
        </w:rPr>
        <w:t>2019</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המאשימה עתרה למתחם עונש הולם שנע בין </w:t>
      </w:r>
      <w:r>
        <w:rPr>
          <w:rFonts w:cs="Arial" w:ascii="Arial" w:hAnsi="Arial"/>
        </w:rPr>
        <w:t>24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נטען כי עבירות הנשק הפכו למכת מדינה וכי אמנם הנאשם ביצע את העבירה לפני תיקון החוק וההוראה החדשה לעניין עונש מזערי אינה חלה עליו אך יש להתחשב בעת גזירת דינו בתיקון אשר מלמד על החומרה שהמחוקק מייחס לעבירה זו</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באשר לנסיבות הקשורות בביצוע העבירה נטען כי לנאשם חלק בלעדי בביצוע העבירה</w:t>
      </w:r>
      <w:r>
        <w:rPr>
          <w:rFonts w:cs="Arial" w:ascii="Arial" w:hAnsi="Arial"/>
          <w:rtl w:val="true"/>
        </w:rPr>
        <w:t xml:space="preserve">, </w:t>
      </w:r>
      <w:r>
        <w:rPr>
          <w:rFonts w:ascii="Arial" w:hAnsi="Arial" w:cs="Arial"/>
          <w:rtl w:val="true"/>
        </w:rPr>
        <w:t>וכמו כן ביקשה המאשימה להתייחס למאפייני וטיב הנשק שנתפס שהינו כלי נשק אוטומטי המאופיין בקצב אש גבוה ופוטנציאל נזק גדול</w:t>
      </w:r>
      <w:r>
        <w:rPr>
          <w:rFonts w:cs="Arial" w:ascii="Arial" w:hAnsi="Arial"/>
          <w:rtl w:val="true"/>
        </w:rPr>
        <w:t xml:space="preserve">. </w:t>
      </w:r>
      <w:r>
        <w:rPr>
          <w:rFonts w:ascii="Arial" w:hAnsi="Arial" w:cs="Arial"/>
          <w:rtl w:val="true"/>
        </w:rPr>
        <w:t>בהקשר הזה הפנה ב</w:t>
      </w:r>
      <w:r>
        <w:rPr>
          <w:rFonts w:cs="Arial" w:ascii="Arial" w:hAnsi="Arial"/>
          <w:rtl w:val="true"/>
        </w:rPr>
        <w:t>"</w:t>
      </w:r>
      <w:r>
        <w:rPr>
          <w:rFonts w:ascii="Arial" w:hAnsi="Arial" w:cs="Arial"/>
          <w:rtl w:val="true"/>
        </w:rPr>
        <w:t>כ המאשימה ל</w:t>
      </w:r>
      <w:hyperlink r:id="rId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26801-07-13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גיהאד עראבי </w:t>
      </w:r>
      <w:r>
        <w:rPr>
          <w:rFonts w:cs="Arial" w:ascii="Arial" w:hAnsi="Arial"/>
          <w:rtl w:val="true"/>
        </w:rPr>
        <w:t>(</w:t>
      </w:r>
      <w:r>
        <w:rPr>
          <w:rFonts w:cs="Arial" w:ascii="Arial" w:hAnsi="Arial"/>
        </w:rPr>
        <w:t>7.4.14</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אוזכרה הפסיקה שלהלן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3"/>
        </w:numPr>
        <w:spacing w:lineRule="auto" w:line="360"/>
        <w:ind w:hanging="360" w:start="720" w:end="0"/>
        <w:jc w:val="both"/>
        <w:rPr>
          <w:rFonts w:ascii="David" w:hAnsi="David" w:cs="David"/>
        </w:rPr>
      </w:pPr>
      <w:hyperlink r:id="rId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2482/22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אחמד קדורה </w:t>
      </w:r>
      <w:r>
        <w:rPr>
          <w:rFonts w:cs="Arial" w:ascii="Arial" w:hAnsi="Arial"/>
          <w:rtl w:val="true"/>
        </w:rPr>
        <w:t>(</w:t>
      </w:r>
      <w:r>
        <w:rPr>
          <w:rFonts w:cs="Arial" w:ascii="Arial" w:hAnsi="Arial"/>
        </w:rPr>
        <w:t>14.4.22</w:t>
      </w:r>
      <w:r>
        <w:rPr>
          <w:rFonts w:cs="Arial" w:ascii="Arial" w:hAnsi="Arial"/>
          <w:rtl w:val="true"/>
        </w:rPr>
        <w:t>)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עניין קדורה</w:t>
      </w:r>
      <w:r>
        <w:rPr>
          <w:rFonts w:cs="Arial" w:ascii="Arial" w:hAnsi="Arial"/>
          <w:b/>
          <w:bCs/>
          <w:rtl w:val="true"/>
        </w:rPr>
        <w:t>"</w:t>
      </w:r>
      <w:r>
        <w:rPr>
          <w:rFonts w:cs="Arial" w:ascii="Arial" w:hAnsi="Arial"/>
          <w:rtl w:val="true"/>
        </w:rPr>
        <w:t xml:space="preserve">), </w:t>
      </w:r>
      <w:r>
        <w:rPr>
          <w:rFonts w:ascii="Arial" w:hAnsi="Arial" w:cs="Arial"/>
          <w:rtl w:val="true"/>
        </w:rPr>
        <w:t>שם</w:t>
      </w:r>
      <w:r>
        <w:rPr>
          <w:rFonts w:cs="Times New Roman"/>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בצוותא</w:t>
      </w:r>
      <w:r>
        <w:rPr>
          <w:rFonts w:cs="Times New Roman"/>
          <w:rtl w:val="true"/>
        </w:rPr>
        <w:t xml:space="preserve"> </w:t>
      </w:r>
      <w:r>
        <w:rPr>
          <w:rtl w:val="true"/>
        </w:rPr>
        <w:t>עם</w:t>
      </w:r>
      <w:r>
        <w:rPr>
          <w:rFonts w:cs="Times New Roman"/>
          <w:rtl w:val="true"/>
        </w:rPr>
        <w:t xml:space="preserve"> </w:t>
      </w:r>
      <w:r>
        <w:rPr>
          <w:rtl w:val="true"/>
        </w:rPr>
        <w:t>אחר</w:t>
      </w:r>
      <w:r>
        <w:rPr>
          <w:rFonts w:cs="Arial" w:ascii="Arial" w:hAnsi="Arial"/>
          <w:rtl w:val="true"/>
        </w:rPr>
        <w:t xml:space="preserve">. </w:t>
      </w:r>
      <w:r>
        <w:rPr>
          <w:rFonts w:ascii="Arial" w:hAnsi="Arial" w:cs="Arial"/>
          <w:rtl w:val="true"/>
        </w:rPr>
        <w:t xml:space="preserve">בית המשפט המחוזי קבע מתחם עונש הולם בין </w:t>
      </w:r>
      <w:r>
        <w:rPr>
          <w:rFonts w:cs="Arial" w:ascii="Arial" w:hAnsi="Arial"/>
        </w:rPr>
        <w:t>10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 xml:space="preserve">חודשי מאסר בפועל וגזר על הנאשם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בית המשפט העליון החמיר בעונשו של הנאשם והעמיד את עונשו של הנאשם על </w:t>
      </w:r>
      <w:r>
        <w:rPr>
          <w:rFonts w:cs="Arial" w:ascii="Arial" w:hAnsi="Arial"/>
        </w:rPr>
        <w:t>18</w:t>
      </w:r>
      <w:r>
        <w:rPr>
          <w:rFonts w:cs="Arial" w:ascii="Arial" w:hAnsi="Arial"/>
          <w:rtl w:val="true"/>
        </w:rPr>
        <w:t xml:space="preserve"> </w:t>
      </w:r>
      <w:r>
        <w:rPr>
          <w:rFonts w:ascii="Arial" w:hAnsi="Arial" w:cs="Arial"/>
          <w:rtl w:val="true"/>
        </w:rPr>
        <w:t>חודשי מאסר בפועל מחמת חומרת העבירה</w:t>
      </w:r>
      <w:r>
        <w:rPr>
          <w:rFonts w:cs="Arial" w:ascii="Arial" w:hAnsi="Arial"/>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3"/>
        </w:numPr>
        <w:spacing w:lineRule="auto" w:line="360"/>
        <w:ind w:hanging="360" w:start="720" w:end="0"/>
        <w:jc w:val="both"/>
        <w:rPr>
          <w:rFonts w:ascii="David" w:hAnsi="David" w:cs="David"/>
        </w:rPr>
      </w:pPr>
      <w:hyperlink r:id="rId8">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2024-04-21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חוסין מנדורי </w:t>
      </w:r>
      <w:r>
        <w:rPr>
          <w:rFonts w:cs="David" w:ascii="David" w:hAnsi="David"/>
          <w:rtl w:val="true"/>
        </w:rPr>
        <w:t>(</w:t>
      </w:r>
      <w:r>
        <w:rPr>
          <w:rFonts w:cs="David" w:ascii="David" w:hAnsi="David"/>
        </w:rPr>
        <w:t>29.6.21</w:t>
      </w:r>
      <w:r>
        <w:rPr>
          <w:rFonts w:cs="David" w:ascii="David" w:hAnsi="David"/>
          <w:rtl w:val="true"/>
        </w:rPr>
        <w:t xml:space="preserve">), </w:t>
      </w:r>
      <w:r>
        <w:rPr>
          <w:rFonts w:ascii="David" w:hAnsi="David"/>
          <w:rtl w:val="true"/>
        </w:rPr>
        <w:t>שם הורשע הנאשם על פי הודאתו במסגרת הסדר טיעון בעבירה של רכישה או החזקת נשק שלא כדין</w:t>
      </w:r>
      <w:r>
        <w:rPr>
          <w:rFonts w:cs="David" w:ascii="David" w:hAnsi="David"/>
          <w:rtl w:val="true"/>
        </w:rPr>
        <w:t xml:space="preserve">. </w:t>
      </w:r>
      <w:r>
        <w:rPr>
          <w:rFonts w:ascii="David" w:hAnsi="David"/>
          <w:rtl w:val="true"/>
        </w:rPr>
        <w:t xml:space="preserve">בית המשפט המחוזי קבע מתחם עונש הולם שנע בין </w:t>
      </w:r>
      <w:r>
        <w:rPr>
          <w:rFonts w:cs="David" w:ascii="David" w:hAnsi="David"/>
        </w:rPr>
        <w:t>12</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וגזר על הנאשם עונש של </w:t>
      </w:r>
      <w:r>
        <w:rPr>
          <w:rFonts w:cs="David" w:ascii="David" w:hAnsi="David"/>
        </w:rPr>
        <w:t>12</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r>
        <w:rPr>
          <w:rFonts w:ascii="David" w:hAnsi="David"/>
          <w:rtl w:val="true"/>
        </w:rPr>
        <w:t xml:space="preserve">בית המשפט העליון קיבל את ערעור המדינה וקבע מתחם עונש הולם הנע בין </w:t>
      </w:r>
      <w:r>
        <w:rPr>
          <w:rFonts w:cs="David" w:ascii="David" w:hAnsi="David"/>
        </w:rPr>
        <w:t>18</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 xml:space="preserve">חודשי מאסר בפועל והטיל על הנאשם מאסר בפועל לתקופה של </w:t>
      </w:r>
      <w:r>
        <w:rPr>
          <w:rFonts w:cs="David" w:ascii="David" w:hAnsi="David"/>
        </w:rPr>
        <w:t>20</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3"/>
        </w:numPr>
        <w:spacing w:lineRule="auto" w:line="360"/>
        <w:ind w:hanging="360" w:start="720" w:end="0"/>
        <w:jc w:val="both"/>
        <w:rPr>
          <w:rFonts w:ascii="David" w:hAnsi="David" w:cs="David"/>
        </w:rPr>
      </w:pPr>
      <w:hyperlink r:id="rId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4332/21</w:t>
        </w:r>
      </w:hyperlink>
      <w:r>
        <w:rPr>
          <w:rFonts w:cs="David" w:ascii="David" w:hAnsi="David"/>
          <w:rtl w:val="true"/>
        </w:rPr>
        <w:t xml:space="preserve"> </w:t>
      </w:r>
      <w:r>
        <w:rPr>
          <w:rFonts w:ascii="David" w:hAnsi="David"/>
          <w:b/>
          <w:b/>
          <w:bCs/>
          <w:rtl w:val="true"/>
        </w:rPr>
        <w:t xml:space="preserve">כרם </w:t>
      </w:r>
      <w:r>
        <w:rPr>
          <w:b/>
          <w:b/>
          <w:bCs/>
          <w:rtl w:val="true"/>
        </w:rPr>
        <w:t>עאסלה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20.2.22</w:t>
      </w:r>
      <w:r>
        <w:rPr>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והורשע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גזר</w:t>
      </w:r>
      <w:r>
        <w:rPr>
          <w:rFonts w:cs="Times New Roman"/>
          <w:rtl w:val="true"/>
        </w:rPr>
        <w:t xml:space="preserve"> </w:t>
      </w:r>
      <w:r>
        <w:rPr>
          <w:rtl w:val="true"/>
        </w:rPr>
        <w:t>את</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ל</w:t>
      </w:r>
      <w:r>
        <w:rPr>
          <w:rtl w:val="true"/>
        </w:rPr>
        <w:t>-</w:t>
      </w:r>
      <w:r>
        <w:rPr>
          <w:rtl w:val="true"/>
        </w:rPr>
        <w:t xml:space="preserve"> </w:t>
      </w:r>
      <w:r>
        <w:rPr/>
        <w:t>15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w:t>
      </w:r>
      <w:r>
        <w:rPr>
          <w:rFonts w:cs="David" w:ascii="David" w:hAnsi="David"/>
          <w:rtl w:val="true"/>
        </w:rPr>
        <w:t xml:space="preserve"> </w:t>
      </w:r>
      <w:r>
        <w:rPr>
          <w:rFonts w:ascii="David" w:hAnsi="David"/>
          <w:rtl w:val="true"/>
        </w:rPr>
        <w:t xml:space="preserve">הנאשם ערער על חומרת העונש ובית המשפט העליון קיבל את הערעור וקבע כי מכלול הנסיבות מצדיקות חריגה ובשל שיקולי שיקום נגזר עליו </w:t>
      </w:r>
      <w:r>
        <w:rPr>
          <w:rFonts w:cs="David" w:ascii="David" w:hAnsi="David"/>
        </w:rPr>
        <w:t>9</w:t>
      </w:r>
      <w:r>
        <w:rPr>
          <w:rFonts w:cs="David" w:ascii="David" w:hAnsi="David"/>
          <w:rtl w:val="true"/>
        </w:rPr>
        <w:t xml:space="preserve"> </w:t>
      </w:r>
      <w:r>
        <w:rPr>
          <w:rFonts w:ascii="David" w:hAnsi="David"/>
          <w:rtl w:val="true"/>
        </w:rPr>
        <w:t>חודשי מאסר אשר ירוצו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3"/>
        </w:numPr>
        <w:spacing w:lineRule="auto" w:line="360"/>
        <w:ind w:hanging="360" w:start="720" w:end="0"/>
        <w:jc w:val="both"/>
        <w:rPr>
          <w:rFonts w:ascii="David" w:hAnsi="David" w:cs="David"/>
        </w:rPr>
      </w:pPr>
      <w:hyperlink r:id="rId1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6265/20</w:t>
        </w:r>
      </w:hyperlink>
      <w:r>
        <w:rPr>
          <w:rFonts w:cs="David" w:ascii="David" w:hAnsi="David"/>
          <w:rtl w:val="true"/>
        </w:rPr>
        <w:t xml:space="preserve"> </w:t>
      </w:r>
      <w:r>
        <w:rPr>
          <w:rFonts w:ascii="David" w:hAnsi="David"/>
          <w:b/>
          <w:b/>
          <w:bCs/>
          <w:rtl w:val="true"/>
        </w:rPr>
        <w:t>ווספי אבו אל קיעאן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15.9.20</w:t>
      </w:r>
      <w:r>
        <w:rPr>
          <w:rFonts w:cs="David" w:ascii="David" w:hAnsi="David"/>
          <w:rtl w:val="true"/>
        </w:rPr>
        <w:t xml:space="preserve">), </w:t>
      </w:r>
      <w:r>
        <w:rPr>
          <w:rFonts w:ascii="David" w:hAnsi="David"/>
          <w:rtl w:val="true"/>
        </w:rPr>
        <w:t xml:space="preserve">הנאשם הורשע לאחר ניהול הליך הוכחות בעבירה של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והפנה</w:t>
      </w:r>
      <w:r>
        <w:rPr>
          <w:rFonts w:cs="Times New Roman"/>
          <w:rtl w:val="true"/>
        </w:rPr>
        <w:t xml:space="preserve"> </w:t>
      </w:r>
      <w:r>
        <w:rPr>
          <w:rtl w:val="true"/>
        </w:rPr>
        <w:t>אותו</w:t>
      </w:r>
      <w:r>
        <w:rPr>
          <w:rFonts w:cs="Times New Roman"/>
          <w:rtl w:val="true"/>
        </w:rPr>
        <w:t xml:space="preserve"> </w:t>
      </w:r>
      <w:r>
        <w:rPr>
          <w:rtl w:val="true"/>
        </w:rPr>
        <w:t>לקבלת</w:t>
      </w:r>
      <w:r>
        <w:rPr>
          <w:rFonts w:cs="Times New Roman"/>
          <w:rtl w:val="true"/>
        </w:rPr>
        <w:t xml:space="preserve"> </w:t>
      </w:r>
      <w:r>
        <w:rPr>
          <w:rtl w:val="true"/>
        </w:rPr>
        <w:t>תסקיר</w:t>
      </w:r>
      <w:r>
        <w:rPr>
          <w:rFonts w:cs="Times New Roman"/>
          <w:rtl w:val="true"/>
        </w:rPr>
        <w:t xml:space="preserve"> </w:t>
      </w:r>
      <w:r>
        <w:rPr>
          <w:rtl w:val="true"/>
        </w:rPr>
        <w:t>והפחית</w:t>
      </w:r>
      <w:r>
        <w:rPr>
          <w:rFonts w:cs="Times New Roman"/>
          <w:rtl w:val="true"/>
        </w:rPr>
        <w:t xml:space="preserve"> </w:t>
      </w:r>
      <w:r>
        <w:rPr>
          <w:rtl w:val="true"/>
        </w:rPr>
        <w:t>לאור</w:t>
      </w:r>
      <w:r>
        <w:rPr>
          <w:rFonts w:cs="Times New Roman"/>
          <w:rtl w:val="true"/>
        </w:rPr>
        <w:t xml:space="preserve"> </w:t>
      </w:r>
      <w:r>
        <w:rPr>
          <w:rtl w:val="true"/>
        </w:rPr>
        <w:t>התסקיר</w:t>
      </w:r>
      <w:r>
        <w:rPr>
          <w:rFonts w:cs="Times New Roman"/>
          <w:rtl w:val="true"/>
        </w:rPr>
        <w:t xml:space="preserve"> </w:t>
      </w:r>
      <w:r>
        <w:rPr>
          <w:rtl w:val="true"/>
        </w:rPr>
        <w:t>החיובי</w:t>
      </w:r>
      <w:r>
        <w:rPr>
          <w:rFonts w:cs="Times New Roman"/>
          <w:rtl w:val="true"/>
        </w:rPr>
        <w:t xml:space="preserve"> </w:t>
      </w:r>
      <w:r>
        <w:rPr>
          <w:rtl w:val="true"/>
        </w:rPr>
        <w:t>שהתקבל</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הערעור</w:t>
      </w:r>
      <w:r>
        <w:rPr>
          <w:rFonts w:cs="Times New Roman"/>
          <w:rtl w:val="true"/>
        </w:rPr>
        <w:t xml:space="preserve"> </w:t>
      </w: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וחיזק</w:t>
      </w:r>
      <w:r>
        <w:rPr>
          <w:rFonts w:cs="Times New Roman"/>
          <w:rtl w:val="true"/>
        </w:rPr>
        <w:t xml:space="preserve"> </w:t>
      </w:r>
      <w:r>
        <w:rPr>
          <w:rtl w:val="true"/>
        </w:rPr>
        <w:t>את</w:t>
      </w:r>
      <w:r>
        <w:rPr>
          <w:rFonts w:cs="Times New Roman"/>
          <w:rtl w:val="true"/>
        </w:rPr>
        <w:t xml:space="preserve"> </w:t>
      </w:r>
      <w:r>
        <w:rPr>
          <w:rtl w:val="true"/>
        </w:rPr>
        <w:t>קביעת</w:t>
      </w:r>
      <w:r>
        <w:rPr>
          <w:rFonts w:cs="Times New Roman"/>
          <w:rtl w:val="true"/>
        </w:rPr>
        <w:t xml:space="preserve"> </w:t>
      </w:r>
      <w:r>
        <w:rPr>
          <w:rtl w:val="true"/>
        </w:rPr>
        <w:t>המחוזי</w:t>
      </w:r>
      <w:r>
        <w:rPr>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באשר לנסיבות שאינן קשורות לביצוע העבירה נטען כי הנאשם הבין את טיב והשלכות מעשיו</w:t>
      </w:r>
      <w:r>
        <w:rPr>
          <w:rFonts w:cs="David" w:ascii="David" w:hAnsi="David"/>
          <w:rtl w:val="true"/>
        </w:rPr>
        <w:t xml:space="preserve">, </w:t>
      </w:r>
      <w:r>
        <w:rPr>
          <w:rFonts w:ascii="David" w:hAnsi="David"/>
          <w:rtl w:val="true"/>
        </w:rPr>
        <w:t>הודה בעובדות כתב האישום וחסך זמן שיפוטי יקר ולקח אחריות</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נטען כי הנאשם אינו קטין ולחובתו עבר פלילי וכי אין לסטות ממתחם העונש שייקבע במידה וההגנה תטען זאת מפאת שיקולי שיקום שכן הנאשם לא הצביע על מהלך שיקומי</w:t>
      </w:r>
      <w:r>
        <w:rPr>
          <w:rFonts w:cs="David" w:ascii="David" w:hAnsi="David"/>
          <w:rtl w:val="true"/>
        </w:rPr>
        <w:t xml:space="preserve">. </w:t>
      </w:r>
    </w:p>
    <w:p>
      <w:pPr>
        <w:pStyle w:val="ListParagraph"/>
        <w:numPr>
          <w:ilvl w:val="0"/>
          <w:numId w:val="1"/>
        </w:numPr>
        <w:spacing w:lineRule="auto" w:line="360"/>
        <w:ind w:hanging="360" w:start="720" w:end="0"/>
        <w:jc w:val="both"/>
        <w:rPr>
          <w:rFonts w:ascii="David" w:hAnsi="David" w:cs="David"/>
        </w:rPr>
      </w:pPr>
      <w:r>
        <w:rPr>
          <w:rFonts w:ascii="David" w:hAnsi="David"/>
          <w:rtl w:val="true"/>
        </w:rPr>
        <w:t>המאשימה טענה לבסוף כי יש למקם את עונשו של הנאשם ברף האמצעי תחתון של המתחם המוצע לאור הנסיבות לעיל</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טיעוני ההגנה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יצוין כי לאחר דיון הטיעונים לעונש הוספו טיעונים מצד ההגנה לרבות התייחסות לפסיקה שהפנתה אליה המאשימה</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טען בדיון כי כבר עם הגשת כתב האישום בעניינו של הנאשם זוהו בעיות ראייתיות משמעותיות בתיק ועל כן הגיעו הצדדים לכתב אישום מתוקן והסדר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נטען כי הנאשם הודה ולקח אחריות וחסך זמן שיפוטי</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נטען כי מבלי להקל ראש</w:t>
      </w:r>
      <w:r>
        <w:rPr>
          <w:rFonts w:cs="David" w:ascii="David" w:hAnsi="David"/>
          <w:rtl w:val="true"/>
        </w:rPr>
        <w:t xml:space="preserve">, </w:t>
      </w:r>
      <w:r>
        <w:rPr>
          <w:rFonts w:ascii="David" w:hAnsi="David"/>
          <w:rtl w:val="true"/>
        </w:rPr>
        <w:t>כתב האישום תוקן לעבירה שהיא פחות חמורה והיא בסמכות בית המשפט השלום</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eastAsia="David"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הפנה לפסיקה כדלקמן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864" w:end="0"/>
        <w:jc w:val="both"/>
        <w:rPr>
          <w:rFonts w:ascii="David" w:hAnsi="David" w:cs="David"/>
        </w:rPr>
      </w:pPr>
      <w:hyperlink r:id="rId11">
        <w:r>
          <w:rPr>
            <w:rStyle w:val="Hyperlink"/>
            <w:rFonts w:cs="David" w:ascii="David" w:hAnsi="David"/>
            <w:color w:val="0000FF"/>
            <w:u w:val="single"/>
          </w:rPr>
          <w:t>30327-02-21</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סוהיל מחאג</w:t>
      </w:r>
      <w:r>
        <w:rPr>
          <w:rFonts w:cs="David" w:ascii="David" w:hAnsi="David"/>
          <w:b/>
          <w:bCs/>
          <w:rtl w:val="true"/>
        </w:rPr>
        <w:t>'</w:t>
      </w:r>
      <w:r>
        <w:rPr>
          <w:rFonts w:ascii="David" w:hAnsi="David"/>
          <w:b/>
          <w:b/>
          <w:bCs/>
          <w:rtl w:val="true"/>
        </w:rPr>
        <w:t xml:space="preserve">נה </w:t>
      </w:r>
      <w:r>
        <w:rPr>
          <w:rFonts w:cs="David" w:ascii="David" w:hAnsi="David"/>
          <w:rtl w:val="true"/>
        </w:rPr>
        <w:t>(</w:t>
      </w:r>
      <w:r>
        <w:rPr>
          <w:rFonts w:cs="David" w:ascii="David" w:hAnsi="David"/>
        </w:rPr>
        <w:t>1.11.21</w:t>
      </w:r>
      <w:r>
        <w:rPr>
          <w:rFonts w:cs="David" w:ascii="David" w:hAnsi="David"/>
          <w:rtl w:val="true"/>
        </w:rPr>
        <w:t xml:space="preserve">), </w:t>
      </w:r>
      <w:r>
        <w:rPr>
          <w:rFonts w:ascii="David" w:hAnsi="David"/>
          <w:rtl w:val="true"/>
        </w:rPr>
        <w:t>שם הורשע הנאשם בעבירות של החזקה</w:t>
      </w:r>
      <w:r>
        <w:rPr>
          <w:rFonts w:cs="David" w:ascii="David" w:hAnsi="David"/>
          <w:rtl w:val="true"/>
        </w:rPr>
        <w:t xml:space="preserve">, </w:t>
      </w:r>
      <w:r>
        <w:rPr>
          <w:rFonts w:ascii="David" w:hAnsi="David"/>
          <w:rtl w:val="true"/>
        </w:rPr>
        <w:t>נשיאה</w:t>
      </w:r>
      <w:r>
        <w:rPr>
          <w:rFonts w:cs="David" w:ascii="David" w:hAnsi="David"/>
          <w:rtl w:val="true"/>
        </w:rPr>
        <w:t xml:space="preserve">, </w:t>
      </w:r>
      <w:r>
        <w:rPr>
          <w:rFonts w:ascii="David" w:hAnsi="David"/>
          <w:rtl w:val="true"/>
        </w:rPr>
        <w:t>והובלת נשק</w:t>
      </w:r>
      <w:r>
        <w:rPr>
          <w:rFonts w:cs="David" w:ascii="David" w:hAnsi="David"/>
          <w:rtl w:val="true"/>
        </w:rPr>
        <w:t xml:space="preserve">, </w:t>
      </w:r>
      <w:r>
        <w:rPr>
          <w:rFonts w:ascii="David" w:hAnsi="David"/>
          <w:rtl w:val="true"/>
        </w:rPr>
        <w:t xml:space="preserve">עבירה של הפרעה לשוטר </w:t>
      </w:r>
      <w:r>
        <w:rPr>
          <w:rFonts w:ascii="David" w:hAnsi="David"/>
          <w:rtl w:val="true"/>
        </w:rPr>
        <w:t>ועבירת החזקת אגרופן שלא כדין</w:t>
      </w:r>
      <w:r>
        <w:rPr>
          <w:rFonts w:cs="David" w:ascii="David" w:hAnsi="David"/>
          <w:rtl w:val="true"/>
        </w:rPr>
        <w:t xml:space="preserve">. </w:t>
      </w:r>
      <w:r>
        <w:rPr>
          <w:rFonts w:ascii="David" w:hAnsi="David"/>
          <w:rtl w:val="true"/>
        </w:rPr>
        <w:t>נקבע</w:t>
      </w:r>
      <w:r>
        <w:rPr>
          <w:rFonts w:ascii="David" w:hAnsi="David"/>
          <w:rtl w:val="true"/>
        </w:rPr>
        <w:t xml:space="preserve"> שמתחם העונש ההולם בעניינו של נאשם </w:t>
      </w:r>
      <w:r>
        <w:rPr>
          <w:rFonts w:cs="David" w:ascii="David" w:hAnsi="David"/>
        </w:rPr>
        <w:t>1</w:t>
      </w:r>
      <w:r>
        <w:rPr>
          <w:rFonts w:cs="David" w:ascii="David" w:hAnsi="David"/>
          <w:rtl w:val="true"/>
        </w:rPr>
        <w:t xml:space="preserve"> </w:t>
      </w:r>
      <w:r>
        <w:rPr>
          <w:rFonts w:ascii="David" w:hAnsi="David"/>
          <w:rtl w:val="true"/>
        </w:rPr>
        <w:t xml:space="preserve">נע בין </w:t>
      </w:r>
      <w:r>
        <w:rPr>
          <w:rFonts w:cs="David" w:ascii="David" w:hAnsi="David"/>
        </w:rPr>
        <w:t>18-36</w:t>
      </w:r>
      <w:r>
        <w:rPr>
          <w:rFonts w:cs="David" w:ascii="David" w:hAnsi="David"/>
          <w:rtl w:val="true"/>
        </w:rPr>
        <w:t xml:space="preserve"> </w:t>
      </w:r>
      <w:r>
        <w:rPr>
          <w:rFonts w:ascii="David" w:hAnsi="David"/>
          <w:rtl w:val="true"/>
        </w:rPr>
        <w:t>חודשי מאסר בפועל</w:t>
      </w:r>
      <w:r>
        <w:rPr>
          <w:rFonts w:ascii="David" w:hAnsi="David"/>
          <w:rtl w:val="true"/>
        </w:rPr>
        <w:t xml:space="preserve"> והוטלו על הנאשם </w:t>
      </w:r>
      <w:r>
        <w:rPr>
          <w:rFonts w:cs="David" w:ascii="David" w:hAnsi="David"/>
        </w:rPr>
        <w:t>18</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w:t>
      </w:r>
    </w:p>
    <w:p>
      <w:pPr>
        <w:pStyle w:val="ListParagraph"/>
        <w:spacing w:lineRule="auto" w:line="360"/>
        <w:ind w:start="864" w:end="0"/>
        <w:jc w:val="both"/>
        <w:rPr>
          <w:rFonts w:ascii="David" w:hAnsi="David" w:cs="David"/>
        </w:rPr>
      </w:pPr>
      <w:r>
        <w:rPr>
          <w:rFonts w:eastAsia="David" w:cs="David" w:ascii="David" w:hAnsi="David"/>
          <w:rtl w:val="true"/>
        </w:rPr>
        <w:t xml:space="preserve"> </w:t>
      </w:r>
    </w:p>
    <w:p>
      <w:pPr>
        <w:pStyle w:val="ListParagraph"/>
        <w:numPr>
          <w:ilvl w:val="0"/>
          <w:numId w:val="2"/>
        </w:numPr>
        <w:spacing w:lineRule="auto" w:line="360"/>
        <w:ind w:hanging="360" w:start="864" w:end="0"/>
        <w:jc w:val="both"/>
        <w:rPr>
          <w:rFonts w:ascii="David" w:hAnsi="David" w:cs="David"/>
        </w:rPr>
      </w:pPr>
      <w:hyperlink r:id="rId1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26036-08-21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אוהראן ג</w:t>
      </w:r>
      <w:r>
        <w:rPr>
          <w:rFonts w:cs="David" w:ascii="David" w:hAnsi="David"/>
          <w:b/>
          <w:bCs/>
          <w:rtl w:val="true"/>
        </w:rPr>
        <w:t>'</w:t>
      </w:r>
      <w:r>
        <w:rPr>
          <w:rFonts w:ascii="David" w:hAnsi="David"/>
          <w:b/>
          <w:b/>
          <w:bCs/>
          <w:rtl w:val="true"/>
        </w:rPr>
        <w:t xml:space="preserve">ארחי </w:t>
      </w:r>
      <w:r>
        <w:rPr>
          <w:rFonts w:cs="David" w:ascii="David" w:hAnsi="David"/>
          <w:rtl w:val="true"/>
        </w:rPr>
        <w:t>(</w:t>
      </w:r>
      <w:r>
        <w:rPr>
          <w:rFonts w:cs="David" w:ascii="David" w:hAnsi="David"/>
        </w:rPr>
        <w:t>25.4.22</w:t>
      </w:r>
      <w:r>
        <w:rPr>
          <w:rFonts w:cs="David" w:ascii="David" w:hAnsi="David"/>
          <w:rtl w:val="true"/>
        </w:rPr>
        <w:t xml:space="preserve">), </w:t>
      </w:r>
      <w:r>
        <w:rPr>
          <w:rFonts w:ascii="David" w:hAnsi="David"/>
          <w:rtl w:val="true"/>
        </w:rPr>
        <w:t>שם הורשע הנאשם בעבירות של נשיאה</w:t>
      </w:r>
      <w:r>
        <w:rPr>
          <w:rFonts w:cs="David" w:ascii="David" w:hAnsi="David"/>
          <w:rtl w:val="true"/>
        </w:rPr>
        <w:t xml:space="preserve">, </w:t>
      </w:r>
      <w:r>
        <w:rPr>
          <w:rFonts w:ascii="David" w:hAnsi="David"/>
          <w:rtl w:val="true"/>
        </w:rPr>
        <w:t>הובלה והחזקת נשק</w:t>
      </w:r>
      <w:r>
        <w:rPr>
          <w:rFonts w:cs="David" w:ascii="David" w:hAnsi="David"/>
          <w:rtl w:val="true"/>
        </w:rPr>
        <w:t xml:space="preserve">. </w:t>
      </w:r>
      <w:r>
        <w:rPr>
          <w:rFonts w:ascii="David" w:hAnsi="David"/>
          <w:rtl w:val="true"/>
        </w:rPr>
        <w:t xml:space="preserve">נקבע מתחם עונש הולם שנע בין </w:t>
      </w:r>
      <w:r>
        <w:rPr>
          <w:rFonts w:cs="David" w:ascii="David" w:hAnsi="David"/>
        </w:rPr>
        <w:t>20-50</w:t>
      </w:r>
      <w:r>
        <w:rPr>
          <w:rFonts w:cs="David" w:ascii="David" w:hAnsi="David"/>
          <w:rtl w:val="true"/>
        </w:rPr>
        <w:t xml:space="preserve"> </w:t>
      </w:r>
      <w:r>
        <w:rPr>
          <w:rFonts w:ascii="David" w:hAnsi="David"/>
          <w:rtl w:val="true"/>
        </w:rPr>
        <w:t xml:space="preserve">חודשי מאסר בפועל והוטל על הנאשם בסופו של יום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numPr>
          <w:ilvl w:val="0"/>
          <w:numId w:val="2"/>
        </w:numPr>
        <w:spacing w:lineRule="auto" w:line="360"/>
        <w:ind w:hanging="360" w:start="864" w:end="0"/>
        <w:jc w:val="both"/>
        <w:rPr>
          <w:rFonts w:ascii="David" w:hAnsi="David" w:cs="David"/>
        </w:rPr>
      </w:pPr>
      <w:hyperlink r:id="rId1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28744-03-21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מוניר סעד </w:t>
      </w:r>
      <w:r>
        <w:rPr>
          <w:rFonts w:cs="David" w:ascii="David" w:hAnsi="David"/>
          <w:rtl w:val="true"/>
        </w:rPr>
        <w:t>(</w:t>
      </w:r>
      <w:r>
        <w:rPr>
          <w:rFonts w:cs="David" w:ascii="David" w:hAnsi="David"/>
        </w:rPr>
        <w:t>4.1.22</w:t>
      </w:r>
      <w:r>
        <w:rPr>
          <w:rFonts w:cs="David" w:ascii="David" w:hAnsi="David"/>
          <w:rtl w:val="true"/>
        </w:rPr>
        <w:t xml:space="preserve">), </w:t>
      </w:r>
      <w:r>
        <w:rPr>
          <w:rFonts w:ascii="David" w:hAnsi="David"/>
          <w:rtl w:val="true"/>
        </w:rPr>
        <w:t xml:space="preserve">הנאשם הודה במסגרת הסדר בביצוע עבירות 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ואיומים</w:t>
      </w:r>
      <w:r>
        <w:rPr>
          <w:rFonts w:cs="David" w:ascii="David" w:hAnsi="David"/>
          <w:rtl w:val="true"/>
        </w:rPr>
        <w:t xml:space="preserve">. </w:t>
      </w:r>
      <w:r>
        <w:rPr>
          <w:rFonts w:ascii="David" w:hAnsi="David"/>
          <w:rtl w:val="true"/>
        </w:rPr>
        <w:t xml:space="preserve">נקבע מתחם עונש הולם שנע בין </w:t>
      </w:r>
      <w:r>
        <w:rPr>
          <w:rFonts w:cs="David" w:ascii="David" w:hAnsi="David"/>
        </w:rPr>
        <w:t>18</w:t>
      </w:r>
      <w:r>
        <w:rPr>
          <w:rFonts w:cs="David" w:ascii="David" w:hAnsi="David"/>
          <w:rtl w:val="true"/>
        </w:rPr>
        <w:t xml:space="preserve"> </w:t>
      </w:r>
      <w:r>
        <w:rPr>
          <w:rFonts w:ascii="David" w:hAnsi="David"/>
          <w:rtl w:val="true"/>
        </w:rPr>
        <w:t>חודשים ל</w:t>
      </w:r>
      <w:r>
        <w:rPr>
          <w:rFonts w:cs="David" w:ascii="David" w:hAnsi="David"/>
          <w:rtl w:val="true"/>
        </w:rPr>
        <w:t>-</w:t>
      </w:r>
      <w:r>
        <w:rPr>
          <w:rFonts w:cs="David" w:ascii="David" w:hAnsi="David"/>
        </w:rPr>
        <w:t>45</w:t>
      </w:r>
      <w:r>
        <w:rPr>
          <w:rFonts w:cs="David" w:ascii="David" w:hAnsi="David"/>
          <w:rtl w:val="true"/>
        </w:rPr>
        <w:t xml:space="preserve"> </w:t>
      </w:r>
      <w:r>
        <w:rPr>
          <w:rFonts w:ascii="David" w:hAnsi="David"/>
          <w:rtl w:val="true"/>
        </w:rPr>
        <w:t>חודשי מאסר בפועל</w:t>
      </w:r>
      <w:r>
        <w:rPr>
          <w:rFonts w:ascii="David" w:hAnsi="David"/>
          <w:rtl w:val="true"/>
        </w:rPr>
        <w:t xml:space="preserve"> ונגזרו על הנאשם </w:t>
      </w:r>
      <w:r>
        <w:rPr>
          <w:rFonts w:cs="David" w:ascii="David" w:hAnsi="David"/>
        </w:rPr>
        <w:t>24</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נטען כי לנאשם הרשעה אחת בשימוש ברכב בלי רשות עת היה קטין ונשפט בבית המשפט לנוער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נטען שהנאשם לא התנגד לחיפוש שנערך ולא הייתה כל הפרעה לעבודתם של השוטרים</w:t>
      </w:r>
      <w:r>
        <w:rPr>
          <w:rFonts w:cs="David" w:ascii="David" w:hAnsi="David"/>
          <w:rtl w:val="true"/>
        </w:rPr>
        <w:t xml:space="preserve">. </w:t>
      </w:r>
      <w:r>
        <w:rPr>
          <w:rFonts w:ascii="David" w:hAnsi="David"/>
          <w:rtl w:val="true"/>
        </w:rPr>
        <w:t>נטען עוד שבמהלך החיפוש לא נמצאו כדורים במחסנית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לגבי נסיבות שאינן קשורות בביצוע העבירה נטען כי הנאשם צעיר</w:t>
      </w:r>
      <w:r>
        <w:rPr>
          <w:rFonts w:cs="David" w:ascii="David" w:hAnsi="David"/>
          <w:rtl w:val="true"/>
        </w:rPr>
        <w:t xml:space="preserve">, </w:t>
      </w:r>
      <w:r>
        <w:rPr>
          <w:rFonts w:ascii="David" w:hAnsi="David"/>
          <w:rtl w:val="true"/>
        </w:rPr>
        <w:t xml:space="preserve">בן </w:t>
      </w:r>
      <w:r>
        <w:rPr>
          <w:rFonts w:cs="David" w:ascii="David" w:hAnsi="David"/>
        </w:rPr>
        <w:t>21</w:t>
      </w:r>
      <w:r>
        <w:rPr>
          <w:rFonts w:cs="David" w:ascii="David" w:hAnsi="David"/>
          <w:rtl w:val="true"/>
        </w:rPr>
        <w:t xml:space="preserve">, </w:t>
      </w:r>
      <w:r>
        <w:rPr>
          <w:rFonts w:ascii="David" w:hAnsi="David"/>
          <w:rtl w:val="true"/>
        </w:rPr>
        <w:t>עבד במשלוחים טרם מעצרו ופרנס את משפחתו</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הנאשם עתר למתחם ענישה שנע בין </w:t>
      </w:r>
      <w:r>
        <w:rPr>
          <w:rFonts w:cs="David" w:ascii="David" w:hAnsi="David"/>
        </w:rPr>
        <w:t>8</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 ולאור האמור לעיל נטען כי יש למקם את עונשו של הנאשם ברף האמצעי של המתחם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דברי הנאשם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הנאשם הביע צער על מעשיו</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דיון והכרעה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 xml:space="preserve">הנאשם יליד שנת </w:t>
      </w:r>
      <w:r>
        <w:rPr>
          <w:rFonts w:cs="David" w:ascii="David" w:hAnsi="David"/>
        </w:rPr>
        <w:t>2000</w:t>
      </w:r>
      <w:r>
        <w:rPr>
          <w:rFonts w:cs="David" w:ascii="David" w:hAnsi="David"/>
          <w:rtl w:val="true"/>
        </w:rPr>
        <w:t xml:space="preserve"> </w:t>
      </w:r>
      <w:r>
        <w:rPr>
          <w:rFonts w:ascii="David" w:hAnsi="David"/>
          <w:rtl w:val="true"/>
        </w:rPr>
        <w:t xml:space="preserve">ועצור מיום </w:t>
      </w:r>
      <w:r>
        <w:rPr>
          <w:rFonts w:cs="David" w:ascii="David" w:hAnsi="David"/>
        </w:rPr>
        <w:t>31.10.2021</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אין צורך להכביר במילים על חומרתן של עבירות הנשק שהפכו למכת מדינה ולא חולף יום אחד ללא נפגעים</w:t>
      </w:r>
      <w:r>
        <w:rPr>
          <w:rFonts w:cs="David" w:ascii="David" w:hAnsi="David"/>
          <w:rtl w:val="true"/>
        </w:rPr>
        <w:t xml:space="preserve">, </w:t>
      </w:r>
      <w:r>
        <w:rPr>
          <w:rFonts w:ascii="David" w:hAnsi="David"/>
          <w:rtl w:val="true"/>
        </w:rPr>
        <w:t>בייחוד במגזר הערבי</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בעניין דנן הערכים החברתיים שנפגעו היו שלום ובטחון הפרט והציבור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מידת הפגיעה בערכים הייתה ברף הבינוני</w:t>
      </w:r>
      <w:r>
        <w:rPr>
          <w:rFonts w:cs="David" w:ascii="David" w:hAnsi="David"/>
          <w:rtl w:val="true"/>
        </w:rPr>
        <w:t xml:space="preserve">, </w:t>
      </w:r>
      <w:r>
        <w:rPr>
          <w:rFonts w:ascii="David" w:hAnsi="David"/>
          <w:rtl w:val="true"/>
        </w:rPr>
        <w:t>לאור סוג הנשק שנתפס</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באשר לתכנון</w:t>
      </w:r>
      <w:r>
        <w:rPr>
          <w:rFonts w:cs="David" w:ascii="David" w:hAnsi="David"/>
          <w:rtl w:val="true"/>
        </w:rPr>
        <w:t xml:space="preserve">, </w:t>
      </w:r>
      <w:r>
        <w:rPr>
          <w:rFonts w:ascii="David" w:hAnsi="David"/>
          <w:rtl w:val="true"/>
        </w:rPr>
        <w:t>הנאשם נסע ברכב השייך לגיסתו כמתואר בכתב האישום</w:t>
      </w:r>
      <w:r>
        <w:rPr>
          <w:rFonts w:cs="David" w:ascii="David" w:hAnsi="David"/>
          <w:rtl w:val="true"/>
        </w:rPr>
        <w:t xml:space="preserve">, </w:t>
      </w:r>
      <w:r>
        <w:rPr>
          <w:rFonts w:ascii="David" w:hAnsi="David"/>
          <w:rtl w:val="true"/>
        </w:rPr>
        <w:t>אך לא היה ברור מידת התכנון שקשורה בעבירות</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הנאשם היה צריך להבין את הפסול במעשיו ולהימנע מהם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 xml:space="preserve">לחומרה יש לציין כי מדובר בנשק התקפי שהוא </w:t>
      </w:r>
      <w:r>
        <w:rPr>
          <w:rFonts w:ascii="Arial" w:hAnsi="Arial" w:cs="Arial"/>
          <w:rtl w:val="true"/>
        </w:rPr>
        <w:t>תת מקלע מאולתר וכי לחובת הנאשם עבירה אחת בעברו הפלילי</w:t>
      </w:r>
      <w:r>
        <w:rPr>
          <w:rFonts w:cs="Arial" w:ascii="Arial" w:hAnsi="Arial"/>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Arial" w:hAnsi="Arial" w:cs="Arial"/>
          <w:rtl w:val="true"/>
        </w:rPr>
        <w:t>בהתבסס על הפסיקה שהוגשה לעיל</w:t>
      </w:r>
      <w:r>
        <w:rPr>
          <w:rFonts w:cs="Arial" w:ascii="Arial" w:hAnsi="Arial"/>
          <w:rtl w:val="true"/>
        </w:rPr>
        <w:t xml:space="preserve">, </w:t>
      </w:r>
      <w:r>
        <w:rPr>
          <w:rFonts w:ascii="Arial" w:hAnsi="Arial" w:cs="Arial"/>
          <w:rtl w:val="true"/>
        </w:rPr>
        <w:t xml:space="preserve">והמגמה להחמרה בעונש בעבירות של הנשק יש לקבוע מתחם ענישה שנע בין </w:t>
      </w:r>
      <w:r>
        <w:rPr>
          <w:rFonts w:cs="Arial" w:ascii="Arial" w:hAnsi="Arial"/>
        </w:rPr>
        <w:t>10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יצוין כי התיקון לחוק בענייו עונש מזערי אינו חל במקרה דנן אך יש לקחת אותו בחשבון בעת גזירת העונש כרכיב במדיניות הענישה</w:t>
      </w:r>
      <w:r>
        <w:rPr>
          <w:rFonts w:cs="Arial" w:ascii="Arial" w:hAnsi="Arial"/>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Arial" w:hAnsi="Arial" w:cs="Arial"/>
          <w:rtl w:val="true"/>
        </w:rPr>
        <w:t>בתוך המתחם יש לקחת בחשבון את הודאתו של הנאשם ולקיחת האחריות שההודאה מסמלת</w:t>
      </w:r>
      <w:r>
        <w:rPr>
          <w:rFonts w:cs="Arial" w:ascii="Arial" w:hAnsi="Arial"/>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rPr>
      </w:pPr>
      <w:r>
        <w:rPr>
          <w:rFonts w:ascii="David" w:hAnsi="David"/>
          <w:rtl w:val="true"/>
        </w:rPr>
        <w:t>אשר על כן</w:t>
      </w:r>
      <w:r>
        <w:rPr>
          <w:rFonts w:cs="David" w:ascii="David" w:hAnsi="David"/>
          <w:rtl w:val="true"/>
        </w:rPr>
        <w:t xml:space="preserve">, </w:t>
      </w:r>
      <w:r>
        <w:rPr>
          <w:rFonts w:ascii="David" w:hAnsi="David"/>
          <w:rtl w:val="true"/>
        </w:rPr>
        <w:t>אני מטיל על הנאשם את העונשים כדלקמן</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864" w:end="0"/>
        <w:jc w:val="both"/>
        <w:rPr>
          <w:rFonts w:ascii="David" w:hAnsi="David" w:cs="David"/>
        </w:rPr>
      </w:pPr>
      <w:r>
        <w:rPr>
          <w:rFonts w:cs="David" w:ascii="David" w:hAnsi="David"/>
        </w:rPr>
        <w:t>15</w:t>
      </w:r>
      <w:r>
        <w:rPr>
          <w:rFonts w:cs="David" w:ascii="David" w:hAnsi="David"/>
          <w:rtl w:val="true"/>
        </w:rPr>
        <w:t xml:space="preserve"> </w:t>
      </w:r>
      <w:r>
        <w:rPr>
          <w:rFonts w:ascii="David" w:hAnsi="David"/>
          <w:rtl w:val="true"/>
        </w:rPr>
        <w:t xml:space="preserve">חודשי מאסר בפועל בניכוי ימי מעצרו מיום </w:t>
      </w:r>
      <w:r>
        <w:rPr>
          <w:rFonts w:cs="David" w:ascii="David" w:hAnsi="David"/>
        </w:rPr>
        <w:t>31.10.2021</w:t>
      </w:r>
      <w:r>
        <w:rPr>
          <w:rFonts w:cs="David" w:ascii="David" w:hAnsi="David"/>
          <w:rtl w:val="true"/>
        </w:rPr>
        <w:t>.</w:t>
      </w:r>
    </w:p>
    <w:p>
      <w:pPr>
        <w:pStyle w:val="ListParagraph"/>
        <w:spacing w:lineRule="auto" w:line="360"/>
        <w:ind w:start="864" w:end="0"/>
        <w:jc w:val="both"/>
        <w:rPr>
          <w:rFonts w:ascii="David" w:hAnsi="David" w:cs="David"/>
        </w:rPr>
      </w:pPr>
      <w:r>
        <w:rPr>
          <w:rFonts w:eastAsia="David" w:cs="David" w:ascii="David" w:hAnsi="David"/>
          <w:rtl w:val="true"/>
        </w:rPr>
        <w:t xml:space="preserve"> </w:t>
      </w:r>
    </w:p>
    <w:p>
      <w:pPr>
        <w:pStyle w:val="ListParagraph"/>
        <w:numPr>
          <w:ilvl w:val="0"/>
          <w:numId w:val="2"/>
        </w:numPr>
        <w:spacing w:lineRule="auto" w:line="360"/>
        <w:ind w:hanging="360" w:start="864" w:end="0"/>
        <w:jc w:val="both"/>
        <w:rPr>
          <w:rFonts w:ascii="David" w:hAnsi="David" w:cs="David"/>
        </w:rPr>
      </w:pPr>
      <w:r>
        <w:rPr>
          <w:rFonts w:ascii="David" w:hAnsi="David"/>
          <w:rtl w:val="true"/>
        </w:rPr>
        <w:t xml:space="preserve">מאסר על תנאי לתקופה של </w:t>
      </w:r>
      <w:r>
        <w:rPr>
          <w:rFonts w:cs="David" w:ascii="David" w:hAnsi="David"/>
        </w:rPr>
        <w:t>18</w:t>
      </w:r>
      <w:r>
        <w:rPr>
          <w:rFonts w:cs="David" w:ascii="David" w:hAnsi="David"/>
          <w:rtl w:val="true"/>
        </w:rPr>
        <w:t xml:space="preserve"> </w:t>
      </w:r>
      <w:r>
        <w:rPr>
          <w:rFonts w:ascii="David" w:hAnsi="David"/>
          <w:rtl w:val="true"/>
        </w:rPr>
        <w:t xml:space="preserve">חודשים למשך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כאשר התנאי יופעל במידה והנאשם יבצע כל עבירה של נשק</w:t>
      </w:r>
      <w:r>
        <w:rPr>
          <w:rFonts w:cs="David" w:ascii="David" w:hAnsi="David"/>
          <w:rtl w:val="true"/>
        </w:rPr>
        <w:t xml:space="preserve">. </w:t>
      </w:r>
    </w:p>
    <w:p>
      <w:pPr>
        <w:pStyle w:val="ListParagraph"/>
        <w:spacing w:lineRule="auto" w:line="360"/>
        <w:ind w:start="864" w:end="0"/>
        <w:jc w:val="both"/>
        <w:rPr>
          <w:rFonts w:ascii="David" w:hAnsi="David" w:cs="David"/>
        </w:rPr>
      </w:pPr>
      <w:r>
        <w:rPr>
          <w:rFonts w:cs="David" w:ascii="David" w:hAnsi="David"/>
          <w:rtl w:val="true"/>
        </w:rPr>
      </w:r>
    </w:p>
    <w:p>
      <w:pPr>
        <w:pStyle w:val="ListParagraph"/>
        <w:numPr>
          <w:ilvl w:val="0"/>
          <w:numId w:val="2"/>
        </w:numPr>
        <w:spacing w:lineRule="auto" w:line="360"/>
        <w:ind w:hanging="360" w:start="864" w:end="0"/>
        <w:jc w:val="both"/>
        <w:rPr>
          <w:rFonts w:ascii="David" w:hAnsi="David" w:cs="David"/>
        </w:rPr>
      </w:pPr>
      <w:r>
        <w:rPr>
          <w:rFonts w:ascii="David" w:hAnsi="David"/>
          <w:rtl w:val="true"/>
        </w:rPr>
        <w:t xml:space="preserve">קנס בסך </w:t>
      </w:r>
      <w:r>
        <w:rPr>
          <w:rFonts w:cs="David" w:ascii="David" w:hAnsi="David"/>
        </w:rPr>
        <w:t>3,500</w:t>
      </w:r>
      <w:r>
        <w:rPr>
          <w:rFonts w:cs="David" w:ascii="David" w:hAnsi="David"/>
          <w:rtl w:val="true"/>
        </w:rPr>
        <w:t xml:space="preserve"> ₪ </w:t>
      </w:r>
      <w:r>
        <w:rPr>
          <w:rFonts w:ascii="David" w:hAnsi="David"/>
          <w:rtl w:val="true"/>
        </w:rPr>
        <w:t xml:space="preserve">לתשלום עד ליום </w:t>
      </w:r>
      <w:r>
        <w:rPr>
          <w:rFonts w:cs="David" w:ascii="David" w:hAnsi="David"/>
        </w:rPr>
        <w:t>01.11.2022</w:t>
      </w:r>
      <w:r>
        <w:rPr>
          <w:rFonts w:cs="David" w:ascii="David" w:hAnsi="David"/>
          <w:rtl w:val="true"/>
        </w:rPr>
        <w:t xml:space="preserve">. </w:t>
      </w:r>
    </w:p>
    <w:p>
      <w:pPr>
        <w:pStyle w:val="ListParagraph"/>
        <w:spacing w:lineRule="auto" w:line="360"/>
        <w:ind w:start="864"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cs="David" w:ascii="David" w:hAnsi="David"/>
          <w:b/>
          <w:bCs/>
          <w:color w:val="FFFFFF"/>
          <w:sz w:val="2"/>
          <w:szCs w:val="2"/>
          <w:u w:val="single"/>
        </w:rPr>
        <w:t>5129371</w:t>
      </w:r>
      <w:r>
        <w:rPr>
          <w:rFonts w:ascii="David" w:hAnsi="David"/>
          <w:b/>
          <w:b/>
          <w:bCs/>
          <w:u w:val="single"/>
          <w:rtl w:val="true"/>
        </w:rPr>
        <w:t xml:space="preserve">זכות ערעור 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ימים</w:t>
      </w:r>
    </w:p>
    <w:p>
      <w:pPr>
        <w:pStyle w:val="Normal"/>
        <w:spacing w:lineRule="auto" w:line="360"/>
        <w:ind w:end="0"/>
        <w:jc w:val="both"/>
        <w:rPr>
          <w:rFonts w:ascii="David" w:hAnsi="David" w:cs="David"/>
          <w:b/>
          <w:bCs/>
          <w:color w:val="FFFFFF"/>
          <w:sz w:val="2"/>
          <w:szCs w:val="2"/>
          <w:u w:val="single"/>
        </w:rPr>
      </w:pPr>
      <w:r>
        <w:rPr>
          <w:rFonts w:cs="David" w:ascii="David" w:hAnsi="David"/>
          <w:b/>
          <w:bCs/>
          <w:color w:val="FFFFFF"/>
          <w:sz w:val="2"/>
          <w:szCs w:val="2"/>
          <w:u w:val="single"/>
        </w:rPr>
        <w:t>54678313</w:t>
      </w:r>
    </w:p>
    <w:p>
      <w:pPr>
        <w:pStyle w:val="Normal"/>
        <w:ind w:end="0"/>
        <w:jc w:val="start"/>
        <w:rPr>
          <w:rFonts w:ascii="Arial" w:hAnsi="Arial" w:cs="Arial"/>
          <w:b/>
          <w:bCs/>
          <w:color w:val="FFFFFF"/>
          <w:sz w:val="26"/>
          <w:szCs w:val="26"/>
          <w:u w:val="single"/>
        </w:rPr>
      </w:pPr>
      <w:r>
        <w:rPr>
          <w:rFonts w:cs="Arial" w:ascii="Arial" w:hAnsi="Arial"/>
          <w:b/>
          <w:bCs/>
          <w:color w:val="FFFFFF"/>
          <w:sz w:val="26"/>
          <w:szCs w:val="26"/>
          <w:u w:val="single"/>
          <w:rtl w:val="true"/>
        </w:rPr>
      </w:r>
    </w:p>
    <w:p>
      <w:pPr>
        <w:pStyle w:val="Normal"/>
        <w:ind w:end="0"/>
        <w:jc w:val="start"/>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ט אב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16</w:t>
      </w:r>
      <w:r>
        <w:rPr>
          <w:rFonts w:cs="Arial" w:ascii="Arial" w:hAnsi="Arial"/>
          <w:b/>
          <w:bCs/>
          <w:sz w:val="26"/>
          <w:szCs w:val="26"/>
          <w:rtl w:val="true"/>
        </w:rPr>
        <w:t xml:space="preserve"> </w:t>
      </w:r>
      <w:r>
        <w:rPr>
          <w:rFonts w:ascii="Arial" w:hAnsi="Arial" w:cs="Arial"/>
          <w:b/>
          <w:b/>
          <w:bCs/>
          <w:sz w:val="26"/>
          <w:sz w:val="26"/>
          <w:szCs w:val="26"/>
          <w:rtl w:val="true"/>
        </w:rPr>
        <w:t xml:space="preserve">אוגוסט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3"/>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512937154678313</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1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15"/>
      <w:footerReference w:type="default" r:id="rId1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47348-11-21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אבו אלרוב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numFmt w:val="bullet"/>
      <w:lvlText w:val="-"/>
      <w:lvlJc w:val="start"/>
      <w:pPr>
        <w:tabs>
          <w:tab w:val="num" w:pos="0"/>
        </w:tabs>
        <w:ind w:start="864" w:hanging="360"/>
      </w:pPr>
      <w:rPr>
        <w:rFonts w:ascii="David" w:hAnsi="David" w:cs="David" w:hint="default"/>
      </w:rPr>
    </w:lvl>
  </w:abstractNum>
  <w:abstractNum w:abstractNumId="3">
    <w:lvl w:ilvl="0">
      <w:numFmt w:val="bullet"/>
      <w:lvlText w:val="-"/>
      <w:lvlJc w:val="end"/>
      <w:pPr>
        <w:tabs>
          <w:tab w:val="num" w:pos="0"/>
        </w:tabs>
        <w:ind w:start="720" w:hanging="360"/>
      </w:pPr>
      <w:rPr>
        <w:rFonts w:ascii="David" w:hAnsi="David" w:cs="David"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rFonts w:ascii="David" w:hAnsi="David"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David" w:hAnsi="David" w:eastAsia="Times New Roman" w:cs="David"/>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case/7789548" TargetMode="External"/><Relationship Id="rId7" Type="http://schemas.openxmlformats.org/officeDocument/2006/relationships/hyperlink" Target="http://www.nevo.co.il/case/28513828" TargetMode="External"/><Relationship Id="rId8" Type="http://schemas.openxmlformats.org/officeDocument/2006/relationships/hyperlink" Target="http://www.nevo.co.il/case/27510949" TargetMode="External"/><Relationship Id="rId9" Type="http://schemas.openxmlformats.org/officeDocument/2006/relationships/hyperlink" Target="http://www.nevo.co.il/case/27721185" TargetMode="External"/><Relationship Id="rId10" Type="http://schemas.openxmlformats.org/officeDocument/2006/relationships/hyperlink" Target="http://www.nevo.co.il/case/26986974" TargetMode="External"/><Relationship Id="rId11" Type="http://schemas.openxmlformats.org/officeDocument/2006/relationships/hyperlink" Target="http://www.nevo.co.il/case/27401739" TargetMode="External"/><Relationship Id="rId12" Type="http://schemas.openxmlformats.org/officeDocument/2006/relationships/hyperlink" Target="http://www.nevo.co.il/case/27854865" TargetMode="External"/><Relationship Id="rId13" Type="http://schemas.openxmlformats.org/officeDocument/2006/relationships/hyperlink" Target="http://www.nevo.co.il/case/27470464" TargetMode="External"/><Relationship Id="rId14" Type="http://schemas.openxmlformats.org/officeDocument/2006/relationships/hyperlink" Target="http://www.nevo.co.il/advertisements/nevo-100.doc"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2023-09-28T10:42:00Z</dcterms:created>
  <dc:creator> </dc:creator>
  <dc:description/>
  <cp:keywords/>
  <dc:language>en-IL</dc:language>
  <cp:lastModifiedBy>h1</cp:lastModifiedBy>
  <dcterms:modified xsi:type="dcterms:W3CDTF">2023-09-28T10:42:00Z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אבו אלרוב</vt:lpwstr>
  </property>
  <property fmtid="{D5CDD505-2E9C-101B-9397-08002B2CF9AE}" pid="6" name="APPELLEE1">
    <vt:lpwstr/>
  </property>
  <property fmtid="{D5CDD505-2E9C-101B-9397-08002B2CF9AE}" pid="7" name="APPELLEE2">
    <vt:lpwstr/>
  </property>
  <property fmtid="{D5CDD505-2E9C-101B-9397-08002B2CF9AE}" pid="8" name="CASESLISTTMP1">
    <vt:lpwstr>7789548;28513828;27510949;27721185;26986974;27401739;27854865;27470464</vt:lpwstr>
  </property>
  <property fmtid="{D5CDD505-2E9C-101B-9397-08002B2CF9AE}" pid="9" name="CITY">
    <vt:lpwstr>חי'</vt:lpwstr>
  </property>
  <property fmtid="{D5CDD505-2E9C-101B-9397-08002B2CF9AE}" pid="10" name="DATE">
    <vt:lpwstr>20220816</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70301/144.a</vt:lpwstr>
  </property>
  <property fmtid="{D5CDD505-2E9C-101B-9397-08002B2CF9AE}" pid="15" name="LAWYER">
    <vt:lpwstr>ריאד רחאל;תמי אולמן;שאדי סרוג'י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47348</vt:lpwstr>
  </property>
  <property fmtid="{D5CDD505-2E9C-101B-9397-08002B2CF9AE}" pid="22" name="NEWPARTB">
    <vt:lpwstr>11</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390020220816</vt:lpwstr>
  </property>
  <property fmtid="{D5CDD505-2E9C-101B-9397-08002B2CF9AE}" pid="34" name="TYPE_N_DATE">
    <vt:lpwstr>39020220816</vt:lpwstr>
  </property>
  <property fmtid="{D5CDD505-2E9C-101B-9397-08002B2CF9AE}" pid="35" name="VOLUME">
    <vt:lpwstr/>
  </property>
  <property fmtid="{D5CDD505-2E9C-101B-9397-08002B2CF9AE}" pid="36" name="WORDNUMPAGES">
    <vt:lpwstr>5</vt:lpwstr>
  </property>
</Properties>
</file>