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473"/>
        <w:gridCol w:w="4248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Foot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בבאר שבע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447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424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אלול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תשע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ט</w:t>
            </w:r>
          </w:p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ספטמבר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2019</w:t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hyperlink r:id="rId2"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ת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rtl w:val="true"/>
                  <w:lang w:val="en-US" w:eastAsia="en-US"/>
                </w:rPr>
                <w:t>"</w:t>
              </w:r>
              <w:r>
                <w:rPr>
                  <w:rStyle w:val="Hyperlink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>פ</w:t>
              </w:r>
              <w:r>
                <w:rPr>
                  <w:rStyle w:val="Hyperlink"/>
                  <w:rFonts w:cs="Times New Roman"/>
                  <w:b/>
                  <w:b/>
                  <w:bCs/>
                  <w:color w:val="0000FF"/>
                  <w:sz w:val="26"/>
                  <w:sz w:val="26"/>
                  <w:szCs w:val="26"/>
                  <w:u w:val="single"/>
                  <w:rtl w:val="true"/>
                  <w:lang w:val="en-US" w:eastAsia="en-US"/>
                </w:rPr>
                <w:t xml:space="preserve"> </w:t>
              </w:r>
              <w:r>
                <w:rPr>
                  <w:rStyle w:val="Hyperlink"/>
                  <w:b/>
                  <w:bCs/>
                  <w:color w:val="0000FF"/>
                  <w:sz w:val="26"/>
                  <w:szCs w:val="26"/>
                  <w:u w:val="single"/>
                  <w:lang w:val="en-US" w:eastAsia="en-US"/>
                </w:rPr>
                <w:t>47445-08-17</w:t>
              </w:r>
            </w:hyperlink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גבועה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4514/2017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uppressLineNumbers/>
        <w:ind w:end="0"/>
        <w:jc w:val="start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לפני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סולקין</w:t>
            </w:r>
          </w:p>
          <w:p>
            <w:pPr>
              <w:pStyle w:val="Normal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end"/>
              <w:rPr>
                <w:rFonts w:ascii="Arial" w:hAnsi="Arial" w:cs="Arial"/>
                <w:b/>
                <w:bCs/>
                <w:sz w:val="26"/>
                <w:szCs w:val="26"/>
                <w:highlight w:val="yellow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highlight w:val="yellow"/>
                <w:lang w:val="en-US" w:eastAsia="en-US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b/>
                <w:bCs/>
                <w:rtl w:val="true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מתמחה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אנע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אם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עלי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נאיף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בן מוסא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גבועה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br/>
            </w: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לימור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לוגאסי</w:t>
            </w:r>
          </w:p>
        </w:tc>
      </w:tr>
    </w:tbl>
    <w:p>
      <w:pPr>
        <w:pStyle w:val="Normal"/>
        <w:suppressLineNumbers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186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uppressLineNumbers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uppressLineNumbers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suppressLineNumbers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כתב האישום והסדר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9" w:name="ABSTRACT_START"/>
      <w:bookmarkEnd w:id="9"/>
      <w:r>
        <w:rPr>
          <w:rFonts w:ascii="Arial" w:hAnsi="Arial" w:cs="Arial"/>
          <w:rtl w:val="true"/>
          <w:lang w:val="en-US" w:eastAsia="en-US"/>
        </w:rPr>
        <w:t>הנאשם שלפני נותן את הדין בגין עבירה של אחזקת נשק שלא כדין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בניגוד לסעיף </w:t>
      </w:r>
      <w:hyperlink r:id="rId8">
        <w:r>
          <w:rPr>
            <w:rStyle w:val="Hyperlink"/>
            <w:rFonts w:cs="Arial" w:ascii="Arial" w:hAnsi="Arial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 xml:space="preserve"> 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רישא 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  <w:lang w:val="en-US" w:eastAsia="en-US"/>
          </w:rPr>
          <w:t>חוק העונשין</w:t>
        </w:r>
      </w:hyperlink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תשל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 xml:space="preserve">ז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1977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בהתאם לעובדות כתב האישום המתוקן ת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הוגש במסגרת הסדר טיעון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נתפש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בתאריך </w:t>
      </w:r>
      <w:r>
        <w:rPr>
          <w:rFonts w:cs="Arial" w:ascii="Arial" w:hAnsi="Arial"/>
          <w:lang w:val="en-US" w:eastAsia="en-US"/>
        </w:rPr>
        <w:t>09.08.2018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מחזיק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בביתו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בפזורה סביב הישוב כסיפה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אקדח חצי אוטומטי מסוג </w:t>
      </w:r>
      <w:r>
        <w:rPr>
          <w:rFonts w:cs="Arial" w:ascii="Arial" w:hAnsi="Arial"/>
          <w:lang w:val="en-US" w:eastAsia="en-US"/>
        </w:rPr>
        <w:t>FN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וכן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חפץ דמוי תת מקלע מאולתר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 xml:space="preserve">כל זאת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שלא כדין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10" w:name="ABSTRACT_END"/>
      <w:bookmarkEnd w:id="10"/>
      <w:r>
        <w:rPr>
          <w:rFonts w:ascii="Arial" w:hAnsi="Arial" w:cs="Arial"/>
          <w:rtl w:val="true"/>
          <w:lang w:val="en-US" w:eastAsia="en-US"/>
        </w:rPr>
        <w:t>בין הצדדים נקשר הסדר טיעון במסגרתו תוקן כתב האישום והנאשם הופנה להערכת שירות המבחן למבוגרים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ההסדר לא כלל הסכמות ענשיות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ראיות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לא הגישה ראיות לענין העונש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הגישה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לענין העונש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אסופת תעודות והמלצות בעניינו של הנאשם </w:t>
      </w:r>
      <w:r>
        <w:rPr>
          <w:rFonts w:cs="Arial" w:ascii="Arial" w:hAnsi="Arial"/>
          <w:rtl w:val="true"/>
          <w:lang w:val="en-US" w:eastAsia="en-US"/>
        </w:rPr>
        <w:t>(</w:t>
      </w:r>
      <w:r>
        <w:rPr>
          <w:rFonts w:ascii="Arial" w:hAnsi="Arial" w:cs="Arial"/>
          <w:rtl w:val="true"/>
          <w:lang w:val="en-US" w:eastAsia="en-US"/>
        </w:rPr>
        <w:t>נ</w:t>
      </w:r>
      <w:r>
        <w:rPr>
          <w:rFonts w:cs="Arial" w:ascii="Arial" w:hAnsi="Arial"/>
          <w:rtl w:val="true"/>
          <w:lang w:val="en-US" w:eastAsia="en-US"/>
        </w:rPr>
        <w:t>/</w:t>
      </w:r>
      <w:r>
        <w:rPr>
          <w:rFonts w:cs="Arial" w:ascii="Arial" w:hAnsi="Arial"/>
          <w:lang w:val="en-US" w:eastAsia="en-US"/>
        </w:rPr>
        <w:t>1</w:t>
      </w:r>
      <w:r>
        <w:rPr>
          <w:rFonts w:cs="Arial" w:ascii="Arial" w:hAnsi="Arial"/>
          <w:rtl w:val="true"/>
          <w:lang w:val="en-US" w:eastAsia="en-US"/>
        </w:rPr>
        <w:t xml:space="preserve">) </w:t>
      </w:r>
      <w:r>
        <w:rPr>
          <w:rFonts w:ascii="Arial" w:hAnsi="Arial" w:cs="Arial"/>
          <w:rtl w:val="true"/>
          <w:lang w:val="en-US" w:eastAsia="en-US"/>
        </w:rPr>
        <w:t>וכן השמיעה שני עדי אופי בענינו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התעודות שהוגשו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מלמדות על סיום בהצלחה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ואף בהצטיינות של סיום מספר קורסים במהלך שירותו הצבאי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בין היתר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קורס מק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קורס נגדים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 xml:space="preserve">לימודים בפרוייקט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רעות</w:t>
      </w:r>
      <w:r>
        <w:rPr>
          <w:rFonts w:cs="Arial" w:ascii="Arial" w:hAnsi="Arial"/>
          <w:rtl w:val="true"/>
          <w:lang w:val="en-US" w:eastAsia="en-US"/>
        </w:rPr>
        <w:t xml:space="preserve">"; </w:t>
      </w:r>
      <w:r>
        <w:rPr>
          <w:rFonts w:ascii="Arial" w:hAnsi="Arial" w:cs="Arial"/>
          <w:rtl w:val="true"/>
          <w:lang w:val="en-US" w:eastAsia="en-US"/>
        </w:rPr>
        <w:t>אימון מתקדם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מתעודת השחרור של הנאשם מצה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שירת </w:t>
      </w:r>
      <w:r>
        <w:rPr>
          <w:rFonts w:cs="Arial" w:ascii="Arial" w:hAnsi="Arial"/>
          <w:lang w:val="en-US" w:eastAsia="en-US"/>
        </w:rPr>
        <w:t>10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ו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cs="Arial" w:ascii="Arial" w:hAnsi="Arial"/>
          <w:lang w:val="en-US" w:eastAsia="en-US"/>
        </w:rPr>
        <w:t>3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מתוכם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7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שנים בשירות קבע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הנאשם זכה לאות השירות הצבאי ולאות למלחמת לבנון השניה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מהמלצות מפקדים שהוגשו בעניינו של הנאשם עולה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במהלך שנות שירותו הפגין מקצועיות רבה</w:t>
      </w:r>
      <w:r>
        <w:rPr>
          <w:rFonts w:cs="Arial" w:ascii="Arial" w:hAnsi="Arial"/>
          <w:rtl w:val="true"/>
          <w:lang w:val="en-US" w:eastAsia="en-US"/>
        </w:rPr>
        <w:t xml:space="preserve">; </w:t>
      </w:r>
      <w:r>
        <w:rPr>
          <w:rFonts w:ascii="Arial" w:hAnsi="Arial" w:cs="Arial"/>
          <w:rtl w:val="true"/>
          <w:lang w:val="en-US" w:eastAsia="en-US"/>
        </w:rPr>
        <w:t>השתתף במשימות מבצעיות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מרדפים ביום ובלילה ואירועי לוחמה וירי אינטנסיבי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זכה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במהלך שירותו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למספר ציונים לשבח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שניים מתוכם מטעם מפקדי הגדוד תחתם שירת ואחד מטעם מפקד החטיבה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במסגרת אסופת המסמכים הוצג גם רשיון לנשיאת כלי נשק ארגוני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אותו קיבל הנאשם מהאגף לרישוי כלי יריה במשרד הפנים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מטעם ההגנה העידו אביו של הנאשם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מר מוסא עבדאללה גבועה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סיפר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כי שירת </w:t>
      </w:r>
      <w:r>
        <w:rPr>
          <w:rFonts w:cs="Arial" w:ascii="Arial" w:hAnsi="Arial"/>
          <w:lang w:val="en-US" w:eastAsia="en-US"/>
        </w:rPr>
        <w:t>25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שנה בצה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ובגופי בטחון שונים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בגזרות פעולה שונות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האב זכה לצל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ש הרמטכ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האב גידל את ילדיו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על ערכים של מסירות למדינה ולבטחונה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ילדיו שירתו בצה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בסדיר ובקבע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האב עצמו מחזיק נשק ברשיון ואף הוכר כנכה 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האב סיפר על השבר שפקד את המשפחה בעקבות מעצרו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האב נותר לפרנס ולטפל בנכדיו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ילדיו הקטנים של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האב 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מצטער על כל מה שקרה וכי הן הנאשם והן המשפחה הפיקו הלקחים הנדרשים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העיד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מטעם ההגנה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רס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ר היחידה בה שרת הנאשם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הלה סיפר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משפחת הנאשם מוכרת כמשפחה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אשר קשרה גורלה עם המדינה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וכי אביו ואפילו סבו של הנאשם שירתו בצה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ושימשו בכוחות הבטחון השונים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סיפר העד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השתתף במארבים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באירועים מבצעיים רבים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מספר פעמים זכה לאותות הצטיינות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העד סיפר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ידוע לו שמשפחת הנאשם מגנה את מעשיו ואף הביעה ביקורת כלפי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עוד סיפר העד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עד היום פועל הנאשם בהתנדבות לעידוד הגיוס בקרב המגזר הבדואי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העד 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הפיק את לקחו וביקש להתחשב בו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הערכת שירות המבחן למבוגרים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בענינו של הנאשם הוגש תסקיר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המפרט את נסיבותיו האישיות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נשוי לאב לתשעה 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כבר בשלב לימודיו התיכוניים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השתלב הנאשם בבית ספר תיכון צבאי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בית הספר הטכני במחנה נתן בבאר שבע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שם סיים חוק לימודיו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ולאחר מכן התגייס לצה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 ושירת בסדיר ובקבע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לאחר שחרורו משירות קבע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עבד במפעל 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סודה סטרים</w:t>
      </w:r>
      <w:r>
        <w:rPr>
          <w:rFonts w:cs="Arial" w:ascii="Arial" w:hAnsi="Arial"/>
          <w:rtl w:val="true"/>
          <w:lang w:val="en-US" w:eastAsia="en-US"/>
        </w:rPr>
        <w:t xml:space="preserve">", </w:t>
      </w:r>
      <w:r>
        <w:rPr>
          <w:rFonts w:ascii="Arial" w:hAnsi="Arial" w:cs="Arial"/>
          <w:rtl w:val="true"/>
          <w:lang w:val="en-US" w:eastAsia="en-US"/>
        </w:rPr>
        <w:t>עד למעצרו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הודה בעבירה בפני קצינת המבחן ואף 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כיום מבין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שסיכן את ילדיו כשהחזיק הנשק בבית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r>
        <w:rPr>
          <w:rFonts w:ascii="Arial" w:hAnsi="Arial" w:cs="Arial"/>
          <w:rtl w:val="true"/>
          <w:lang w:val="en-US" w:eastAsia="en-US"/>
        </w:rPr>
        <w:t>עם זאת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נמסר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מתקשה להעמיק בהבנת המניעים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שהובילו אותו לעבור את העבירה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עבר את העבירה באופן אימפולסיבי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ללא חשיבה על השלכות מעשיו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התרשם מיכולות קונפורמיות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להסתגל למסגרות ואף שאיפה להתפתח בחייו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נוטל אחריות על תפקידיו המשפחתיים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שירות המבחן התרשם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הסתבכותו של הנאשם בעבירה אינה מאפיינת את אורח חייו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לאור התרשמות שירות המבחן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הנאשם זקוק להליך טיפולי לצורך העמקה בהבנת מניעיו שתאפשר לקיחת אחריות מלאה מצדו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ולאור כך שהנאשם הביע מוטיבציה לשילובו בהליך הטיפולי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לרבות רצון לשינוי דפוסי אישיותו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שהכשילו אותו בעבירה ולרכישת כלים מתאימים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בא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בהמלצה שיקומית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טיפולית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להשית על הנאשם עונש מאסר בדרך של עבודות שירות ובמקביל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לחייבו בהמשך השתתפות במסגרת טיפולית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תחת צו מבחן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טענות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כל אחד מהצדדים הגיש טענותיו לעונש בכתב וההגנה אף השלימה הטענות על פה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התביעה</w:t>
      </w:r>
      <w:r>
        <w:rPr>
          <w:rFonts w:ascii="Arial" w:hAnsi="Arial" w:cs="Arial"/>
          <w:rtl w:val="true"/>
          <w:lang w:val="en-US" w:eastAsia="en-US"/>
        </w:rPr>
        <w:t xml:space="preserve"> הדגישה את פוטנציאל הסיכון הנובע מאחזקת נשק שלא כדין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התביעה הפנתה להנחיית פרקליט המדינה </w:t>
      </w:r>
      <w:r>
        <w:rPr>
          <w:rFonts w:cs="Arial" w:ascii="Arial" w:hAnsi="Arial"/>
          <w:lang w:val="en-US" w:eastAsia="en-US"/>
        </w:rPr>
        <w:t>9.16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שניתנה לאחרונה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במסגרתה נדרשה התביעה הכללית לדרוש עונשי מאסר חמורים בגין עבירות בנשק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התביעה עתרה להעמיד מתחם הענישה בן שנתיים ומחצה ועד </w:t>
      </w:r>
      <w:r>
        <w:rPr>
          <w:rFonts w:cs="Arial" w:ascii="Arial" w:hAnsi="Arial"/>
          <w:lang w:val="en-US" w:eastAsia="en-US"/>
        </w:rPr>
        <w:t>5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שנות מאסר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התביעה עתרה לגזור עונשו של הנאשם מעל חלקו התחתון של המתחם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בנוסף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עתרה התביעה להשית על הנאשם מאסר על תנאי ארוך ומרתיע וכן קנס משמעותי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ההגנה</w:t>
      </w:r>
      <w:r>
        <w:rPr>
          <w:rFonts w:ascii="Arial" w:hAnsi="Arial" w:cs="Arial"/>
          <w:rtl w:val="true"/>
          <w:lang w:val="en-US" w:eastAsia="en-US"/>
        </w:rPr>
        <w:t xml:space="preserve"> הפנתה לנסיבותיו האישיות של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אב לילדים קטנים וכן לשירותו הארוך בצה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ל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ההגנה ביקשה לשים דגש על ההליך הטיפולי </w:t>
      </w:r>
      <w:r>
        <w:rPr>
          <w:rFonts w:cs="Arial" w:ascii="Arial" w:hAnsi="Arial"/>
          <w:rtl w:val="true"/>
          <w:lang w:val="en-US" w:eastAsia="en-US"/>
        </w:rPr>
        <w:t xml:space="preserve">- </w:t>
      </w:r>
      <w:r>
        <w:rPr>
          <w:rFonts w:ascii="Arial" w:hAnsi="Arial" w:cs="Arial"/>
          <w:rtl w:val="true"/>
          <w:lang w:val="en-US" w:eastAsia="en-US"/>
        </w:rPr>
        <w:t>השיקומי בו שולב הנאשם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 xml:space="preserve">לטענת ההגנה </w:t>
      </w:r>
      <w:r>
        <w:rPr>
          <w:rFonts w:ascii="Arial" w:hAnsi="Arial" w:cs="Arial"/>
          <w:rtl w:val="true"/>
          <w:lang w:val="en-US" w:eastAsia="en-US"/>
        </w:rPr>
        <w:t>–</w:t>
      </w:r>
      <w:r>
        <w:rPr>
          <w:rFonts w:ascii="Arial" w:hAnsi="Arial" w:cs="Arial"/>
          <w:rtl w:val="true"/>
          <w:lang w:val="en-US" w:eastAsia="en-US"/>
        </w:rPr>
        <w:t xml:space="preserve"> נע מתחם הענישה בן </w:t>
      </w:r>
      <w:r>
        <w:rPr>
          <w:rFonts w:cs="Arial" w:ascii="Arial" w:hAnsi="Arial"/>
          <w:lang w:val="en-US" w:eastAsia="en-US"/>
        </w:rPr>
        <w:t>6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ועד </w:t>
      </w:r>
      <w:r>
        <w:rPr>
          <w:rFonts w:cs="Arial" w:ascii="Arial" w:hAnsi="Arial"/>
          <w:lang w:val="en-US" w:eastAsia="en-US"/>
        </w:rPr>
        <w:t>9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>חודשי מאסר בפועל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 xml:space="preserve">כאשר הרף התחתון של המתחם </w:t>
      </w:r>
      <w:r>
        <w:rPr>
          <w:rFonts w:cs="Arial" w:ascii="Arial" w:hAnsi="Arial"/>
          <w:rtl w:val="true"/>
          <w:lang w:val="en-US" w:eastAsia="en-US"/>
        </w:rPr>
        <w:t>-</w:t>
      </w:r>
      <w:r>
        <w:rPr>
          <w:rFonts w:ascii="Arial" w:hAnsi="Arial" w:cs="Arial"/>
          <w:rtl w:val="true"/>
          <w:lang w:val="en-US" w:eastAsia="en-US"/>
        </w:rPr>
        <w:t>יכול שירוצה בדרך של עבודות שירות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ביקשה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בית משפט יאמץ המלצתו של שירות המבחן למבוגרים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ההגנה הפנתה לתקופה הארוכה בה היה הנאשם עצור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u w:val="single"/>
          <w:rtl w:val="true"/>
          <w:lang w:val="en-US" w:eastAsia="en-US"/>
        </w:rPr>
        <w:t>בדברו האחרון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מסר הנאשם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עשה טעות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בגינה משלם את המחיר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מסר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כי למד מהטעות וכי יחנך את ילדיו ואת בני משפחתו שלא יחזרו על טעות כזו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הנאשם הביע רצונו להשתלב בהליך הטיפולי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cs="Arial" w:ascii="Arial" w:hAnsi="Arial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להכביר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מילים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פוטנציאל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קטלני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כדין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למצוא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דרכו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שלילית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נגד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בטחון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ותחמושת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נבדק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הוכשר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בתנאים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מבטיחים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בידודו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מהסביבה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כיום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שמחזיק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ברשיון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נדרש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לאפסנו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בכספת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מאובטחת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מאחורי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מנעולים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עלולה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שהוחזק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לצורך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פעילות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שלילית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כמפורט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לעיל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Times New Roman"/>
          <w:lang w:val="en-US" w:eastAsia="en-US"/>
        </w:rPr>
      </w:pPr>
      <w:r>
        <w:rPr>
          <w:rFonts w:cs="Times New Roman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בנוסף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עלולה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להביא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לפגיעה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בשלטון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ובנושאי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שלטון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המבצעים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תפקידם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3288/14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קריספל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פורסם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במאגרים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נאמר</w:t>
      </w:r>
      <w:r>
        <w:rPr>
          <w:rFonts w:cs="Calibri" w:ascii="Calibri" w:hAnsi="Calibri"/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Aharoni"/>
          <w:rtl w:val="true"/>
          <w:lang w:val="en-US" w:eastAsia="en-US"/>
        </w:rPr>
        <w:t>בשל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פוטנציאל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ההרס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הטמון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בכלי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נשק</w:t>
      </w:r>
      <w:r>
        <w:rPr>
          <w:rFonts w:cs="Aharon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Aharoni"/>
          <w:rtl w:val="true"/>
          <w:lang w:val="en-US" w:eastAsia="en-US"/>
        </w:rPr>
        <w:t>הכולל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גם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אפשרות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לפגיעה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עיוורת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באנשים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מן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הישוב</w:t>
      </w:r>
      <w:r>
        <w:rPr>
          <w:rFonts w:cs="Aharon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Aharoni"/>
          <w:rtl w:val="true"/>
          <w:lang w:val="en-US" w:eastAsia="en-US"/>
        </w:rPr>
        <w:t>מתפקידו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להרתיע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אף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מפני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עבירת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כדין</w:t>
      </w:r>
      <w:r>
        <w:rPr>
          <w:rFonts w:cs="Aharon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Aharoni"/>
          <w:rtl w:val="true"/>
          <w:lang w:val="en-US" w:eastAsia="en-US"/>
        </w:rPr>
        <w:t>זאת</w:t>
      </w:r>
      <w:r>
        <w:rPr>
          <w:rFonts w:cs="Aharon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Aharoni"/>
          <w:rtl w:val="true"/>
          <w:lang w:val="en-US" w:eastAsia="en-US"/>
        </w:rPr>
        <w:t>כדי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לבלום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את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שרשרת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העבירות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בשלב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ראשוני</w:t>
      </w:r>
      <w:r>
        <w:rPr>
          <w:rFonts w:cs="Aharon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4945/13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סלימאן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,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פורסם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במאגרים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נאמר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haroni" w:ascii="Calibri" w:hAnsi="Calibri"/>
          <w:rtl w:val="true"/>
          <w:lang w:val="en-US" w:eastAsia="en-US"/>
        </w:rPr>
        <w:t xml:space="preserve">... </w:t>
      </w:r>
      <w:r>
        <w:rPr>
          <w:rFonts w:ascii="Calibri" w:hAnsi="Calibri" w:cs="Aharoni"/>
          <w:rtl w:val="true"/>
          <w:lang w:val="en-US" w:eastAsia="en-US"/>
        </w:rPr>
        <w:t>התגלגלותם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כלי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מיד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ליד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ללא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פיקוח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עלולה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להוביל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להגעתם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בדרך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לא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דרך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לגורמים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פליליים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ועוינים</w:t>
      </w:r>
      <w:r>
        <w:rPr>
          <w:rFonts w:cs="Aharon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Aharoni"/>
          <w:rtl w:val="true"/>
          <w:lang w:val="en-US" w:eastAsia="en-US"/>
        </w:rPr>
        <w:t>אין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לדעת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מה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יעלה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בגורלם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 </w:t>
      </w:r>
      <w:r>
        <w:rPr>
          <w:rFonts w:ascii="Calibri" w:hAnsi="Calibri" w:cs="Aharoni"/>
          <w:rtl w:val="true"/>
          <w:lang w:val="en-US" w:eastAsia="en-US"/>
        </w:rPr>
        <w:t>ולאלו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תוצאות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הרסניות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יובילו</w:t>
      </w:r>
      <w:r>
        <w:rPr>
          <w:rFonts w:cs="Aharon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Aharoni"/>
          <w:rtl w:val="true"/>
          <w:lang w:val="en-US" w:eastAsia="en-US"/>
        </w:rPr>
        <w:t>ודוק</w:t>
      </w:r>
      <w:r>
        <w:rPr>
          <w:rFonts w:cs="Aharoni" w:ascii="Calibri" w:hAnsi="Calibri"/>
          <w:rtl w:val="true"/>
          <w:lang w:val="en-US" w:eastAsia="en-US"/>
        </w:rPr>
        <w:t xml:space="preserve">: </w:t>
      </w:r>
      <w:r>
        <w:rPr>
          <w:rFonts w:ascii="Calibri" w:hAnsi="Calibri" w:cs="Aharoni"/>
          <w:rtl w:val="true"/>
          <w:lang w:val="en-US" w:eastAsia="en-US"/>
        </w:rPr>
        <w:t>הסיכון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שנשקף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לשלום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הציבור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צריך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להילקח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בחשבון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על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ידי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כל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מי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שמחזיק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בידו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שלא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כדין</w:t>
      </w:r>
      <w:r>
        <w:rPr>
          <w:rFonts w:cs="Aharon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Aharoni"/>
          <w:u w:val="single"/>
          <w:rtl w:val="true"/>
          <w:lang w:val="en-US" w:eastAsia="en-US"/>
        </w:rPr>
        <w:t>גם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אם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אינו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מחזיק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בו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למטרת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ביצוען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של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אחרות</w:t>
      </w:r>
      <w:r>
        <w:rPr>
          <w:rFonts w:cs="Aharon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Aharoni"/>
          <w:rtl w:val="true"/>
          <w:lang w:val="en-US" w:eastAsia="en-US"/>
        </w:rPr>
        <w:t>עצם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בעל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פוטנציאל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קטילה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מבלי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שיש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עליו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ועל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בעליו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פיקוח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מוסדר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הרשויות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טומן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בחובו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סיכון</w:t>
      </w:r>
      <w:r>
        <w:rPr>
          <w:rFonts w:cs="Aharon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Aharoni"/>
          <w:rtl w:val="true"/>
          <w:lang w:val="en-US" w:eastAsia="en-US"/>
        </w:rPr>
        <w:t>באשר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המחזיק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נתון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תמיד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לחשש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שיתפתה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לעשות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שימוש</w:t>
      </w:r>
      <w:r>
        <w:rPr>
          <w:rFonts w:cs="Aharon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Aharoni"/>
          <w:rtl w:val="true"/>
          <w:lang w:val="en-US" w:eastAsia="en-US"/>
        </w:rPr>
        <w:t>ולו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ברגעי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לחץ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ופחד</w:t>
      </w:r>
      <w:r>
        <w:rPr>
          <w:rFonts w:cs="Aharon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rtl w:val="true"/>
          <w:lang w:val="en-US" w:eastAsia="en-US"/>
        </w:rPr>
        <w:t>[</w:t>
      </w:r>
      <w:r>
        <w:rPr>
          <w:rFonts w:ascii="Calibri" w:hAnsi="Calibri" w:cs="Calibri"/>
          <w:rtl w:val="true"/>
          <w:lang w:val="en-US" w:eastAsia="en-US"/>
        </w:rPr>
        <w:t>ההדגשה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במקור</w:t>
      </w:r>
      <w:r>
        <w:rPr>
          <w:rFonts w:cs="Calibri" w:ascii="Calibri" w:hAnsi="Calibri"/>
          <w:rtl w:val="true"/>
          <w:lang w:val="en-US" w:eastAsia="en-US"/>
        </w:rPr>
        <w:t>].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בשורה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פסקי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חומרת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הסיכון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הנשקף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מעבירות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אלה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Calibri"/>
          <w:u w:val="single"/>
          <w:rtl w:val="true"/>
          <w:lang w:val="en-US" w:eastAsia="en-US"/>
        </w:rPr>
        <w:t>מחייבת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השתת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עונשי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מאסר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בפועל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בגין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עבירות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אלה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וזאת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גם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כאשר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המדובר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Calibri"/>
          <w:u w:val="single"/>
          <w:rtl w:val="true"/>
          <w:lang w:val="en-US" w:eastAsia="en-US"/>
        </w:rPr>
        <w:t>לכאורה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Calibri"/>
          <w:u w:val="single"/>
          <w:rtl w:val="true"/>
          <w:lang w:val="en-US" w:eastAsia="en-US"/>
        </w:rPr>
        <w:t>במי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שמנהל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אורח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חיים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נורמטיבי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ואין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לחובתו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הרשעות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קודמות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רע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2718/04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אבו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דאחל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פורסם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במאגרים</w:t>
      </w:r>
      <w:r>
        <w:rPr>
          <w:rFonts w:cs="Calibri" w:ascii="Calibri" w:hAnsi="Calibri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Aharoni"/>
          <w:rtl w:val="true"/>
          <w:lang w:val="en-US" w:eastAsia="en-US"/>
        </w:rPr>
        <w:t>יוער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כי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הסכנה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הטמונה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בעבירה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החמורה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החזקת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נשק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מצדיקה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הטלת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עונשי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מאסר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לריצוי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בפועל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גם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על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מי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שזו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עבירתו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הראשונה</w:t>
      </w:r>
      <w:r>
        <w:rPr>
          <w:rFonts w:cs="Aharon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Aharoni"/>
          <w:rtl w:val="true"/>
          <w:lang w:val="en-US" w:eastAsia="en-US"/>
        </w:rPr>
        <w:t>בבוא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בית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המשפט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לשקול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את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הענישה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בעבירות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מסוג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זה</w:t>
      </w:r>
      <w:r>
        <w:rPr>
          <w:rFonts w:cs="Aharon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Aharoni"/>
          <w:rtl w:val="true"/>
          <w:lang w:val="en-US" w:eastAsia="en-US"/>
        </w:rPr>
        <w:t>עליו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לתת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משקל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נכבד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יותר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לאינטרס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הציבורי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ולצורך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להרתיע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עבריינים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בכוח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מלבצע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עבירות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דומות</w:t>
      </w:r>
      <w:r>
        <w:rPr>
          <w:rFonts w:cs="Aharon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Aharoni"/>
          <w:rtl w:val="true"/>
          <w:lang w:val="en-US" w:eastAsia="en-US"/>
        </w:rPr>
        <w:t>על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פני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הנסיבות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האישיות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העבריין</w:t>
      </w:r>
      <w:r>
        <w:rPr>
          <w:rFonts w:cs="Aharon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עוד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5220/09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עוואודה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פורסם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במאגרים</w:t>
      </w:r>
      <w:r>
        <w:rPr>
          <w:rFonts w:cs="Calibri" w:ascii="Calibri" w:hAnsi="Calibri"/>
          <w:rtl w:val="true"/>
          <w:lang w:val="en-US" w:eastAsia="en-US"/>
        </w:rPr>
        <w:t>):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Aharoni"/>
          <w:rtl w:val="true"/>
          <w:lang w:val="en-US" w:eastAsia="en-US"/>
        </w:rPr>
        <w:t>אשר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על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כן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משכבר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נקבע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הכלל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לפיו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ככלל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יש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לאסור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את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המבצעים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עבירה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זו</w:t>
      </w:r>
      <w:r>
        <w:rPr>
          <w:rFonts w:cs="Aharoni" w:ascii="Calibri" w:hAnsi="Calibri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Aharoni"/>
          <w:u w:val="single"/>
          <w:rtl w:val="true"/>
          <w:lang w:val="en-US" w:eastAsia="en-US"/>
        </w:rPr>
        <w:t>גם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אם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מדובר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בעבירה</w:t>
      </w:r>
      <w:r>
        <w:rPr>
          <w:rFonts w:ascii="Calibri" w:hAnsi="Calibri" w:eastAsia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Aharoni"/>
          <w:u w:val="single"/>
          <w:rtl w:val="true"/>
          <w:lang w:val="en-US" w:eastAsia="en-US"/>
        </w:rPr>
        <w:t>ראשונה</w:t>
      </w:r>
      <w:r>
        <w:rPr>
          <w:rFonts w:cs="Aharon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Aharoni"/>
          <w:rtl w:val="true"/>
          <w:lang w:val="en-US" w:eastAsia="en-US"/>
        </w:rPr>
        <w:t>מאחורי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סורג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ובריח</w:t>
      </w:r>
      <w:r>
        <w:rPr>
          <w:rFonts w:cs="Aharon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Aharoni"/>
          <w:rtl w:val="true"/>
          <w:lang w:val="en-US" w:eastAsia="en-US"/>
        </w:rPr>
        <w:t>ואילו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אורך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התקופה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כלול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בנסיבות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הספציפיות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של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העושה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והמעשה</w:t>
      </w:r>
      <w:r>
        <w:rPr>
          <w:rFonts w:cs="Aharon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haroni" w:ascii="Calibri" w:hAnsi="Calibri"/>
          <w:rtl w:val="true"/>
          <w:lang w:val="en-US" w:eastAsia="en-US"/>
        </w:rPr>
        <w:t>(</w:t>
      </w:r>
      <w:r>
        <w:rPr>
          <w:rFonts w:ascii="Calibri" w:hAnsi="Calibri" w:cs="Aharoni"/>
          <w:rtl w:val="true"/>
          <w:lang w:val="en-US" w:eastAsia="en-US"/>
        </w:rPr>
        <w:t>ההדגשה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אינה</w:t>
      </w:r>
      <w:r>
        <w:rPr>
          <w:rFonts w:ascii="Calibri" w:hAnsi="Calibri" w:eastAsia="Calibri" w:cs="Calibri"/>
          <w:rtl w:val="true"/>
          <w:lang w:val="en-US" w:eastAsia="en-US"/>
        </w:rPr>
        <w:t xml:space="preserve"> </w:t>
      </w:r>
      <w:r>
        <w:rPr>
          <w:rFonts w:ascii="Calibri" w:hAnsi="Calibri" w:cs="Aharoni"/>
          <w:rtl w:val="true"/>
          <w:lang w:val="en-US" w:eastAsia="en-US"/>
        </w:rPr>
        <w:t>במקור</w:t>
      </w:r>
      <w:r>
        <w:rPr>
          <w:rFonts w:cs="Aharoni" w:ascii="Calibri" w:hAnsi="Calibri"/>
          <w:rtl w:val="true"/>
          <w:lang w:val="en-US" w:eastAsia="en-US"/>
        </w:rPr>
        <w:t>)</w:t>
      </w:r>
      <w:r>
        <w:rPr>
          <w:rFonts w:cs="Aharon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23419-01-17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זניד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ואח</w:t>
      </w:r>
      <w:r>
        <w:rPr>
          <w:rFonts w:cs="Calibri" w:ascii="Calibri" w:hAnsi="Calibri"/>
          <w:b/>
          <w:bCs/>
          <w:rtl w:val="true"/>
          <w:lang w:val="en-US" w:eastAsia="en-US"/>
        </w:rPr>
        <w:t>'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פורסם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במאגרים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נדון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בעניינם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משיבים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נתפס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בקוטר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מחסנית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17</w:t>
      </w:r>
      <w:r>
        <w:rPr>
          <w:rFonts w:cs="Calibri" w:ascii="Calibri" w:hAnsi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כדורים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מאולתר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דמוי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Arial" w:ascii="Arial" w:hAnsi="Arial"/>
          <w:lang w:val="en-US" w:eastAsia="en-US"/>
        </w:rPr>
        <w:t>M16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מחסנית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כדורים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השני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נתפס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בצירוף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תחמושת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קמא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בנוגע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האקדחים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בנוגע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שהחזיק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ורובה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מאולתר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התקבל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בהסכמת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הצדדים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שהוחמרו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שהושתו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המשיבים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26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31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בהתאמה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המחוזי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בשבתו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לערעורים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מצא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לציין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המתחמים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שנקבעו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על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ידי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בית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משפט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השלום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נמוכים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יתר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על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המידה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בעקבות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החלטת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המחוזי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נוסף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בסמוך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השלום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מאולתר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אחד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מקלע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בצירוף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מחסנית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כדורים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7544-11-16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אלאסד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פורסם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במאגרים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באותו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שאינו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מכביד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21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ערעור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נדחה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ואף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נקבע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ידי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המחוזי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בשבתו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לערעורים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פליליים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ראוי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6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22885-05-17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אלאסד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פורסם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במאגרים</w:t>
      </w:r>
      <w:r>
        <w:rPr>
          <w:rFonts w:cs="Calibri" w:ascii="Calibri" w:hAnsi="Calibri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בפסק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4945/13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סלימאן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פורסם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במאגרים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אושר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 </w:t>
      </w:r>
      <w:r>
        <w:rPr>
          <w:rFonts w:ascii="Calibri" w:hAnsi="Calibri" w:cs="Calibri"/>
          <w:rtl w:val="true"/>
          <w:lang w:val="en-US" w:eastAsia="en-US"/>
        </w:rPr>
        <w:t>בודד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תת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ascii="Calibri" w:hAnsi="Calibri" w:cs="Calibri"/>
          <w:rtl w:val="true"/>
          <w:lang w:val="en-US" w:eastAsia="en-US"/>
        </w:rPr>
        <w:t xml:space="preserve">מקלע </w:t>
      </w:r>
      <w:r>
        <w:rPr>
          <w:rFonts w:ascii="Calibri" w:hAnsi="Calibri" w:cs="Calibri"/>
          <w:rtl w:val="true"/>
          <w:lang w:val="en-US" w:eastAsia="en-US"/>
        </w:rPr>
        <w:t>קרל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גוסטב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מחסנית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וכדורים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העליון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ציין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לקבוע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עונשים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מרתיעים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והעמיד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אמנם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הורשע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המשיב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חמורה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נשיאת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בניגוד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1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תשל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1977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כשנה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ומחצה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ניתן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גזר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hyperlink r:id="rId2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32560-12-16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אלסאריעה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cs="Calibri" w:ascii="Calibri" w:hAnsi="Calibri"/>
          <w:b/>
          <w:bCs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פורסם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במאגרים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נדון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נסיון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ברטה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העבירה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תוקנה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לנסיון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הסדר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טעון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היה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תקין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וכן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מקלע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מאולתר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כשכלי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הוחזקו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בביתו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לעונש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זאת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במסגרת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כולל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ascii="Calibri" w:hAnsi="Calibri" w:cs="Calibri"/>
          <w:u w:val="single"/>
          <w:rtl w:val="true"/>
          <w:lang w:val="en-US" w:eastAsia="en-US"/>
        </w:rPr>
        <w:t>בשבתו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כבית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משפט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לערעורים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פליליים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Calibri"/>
          <w:u w:val="single"/>
          <w:rtl w:val="true"/>
          <w:lang w:val="en-US" w:eastAsia="en-US"/>
        </w:rPr>
        <w:t>דחה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בית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המשפט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המחוזי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Calibri"/>
          <w:u w:val="single"/>
          <w:rtl w:val="true"/>
          <w:lang w:val="en-US" w:eastAsia="en-US"/>
        </w:rPr>
        <w:t>הרכב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אב</w:t>
      </w:r>
      <w:r>
        <w:rPr>
          <w:rFonts w:cs="Calibri" w:ascii="Calibri" w:hAnsi="Calibri"/>
          <w:u w:val="single"/>
          <w:rtl w:val="true"/>
          <w:lang w:val="en-US" w:eastAsia="en-US"/>
        </w:rPr>
        <w:t>"</w:t>
      </w:r>
      <w:r>
        <w:rPr>
          <w:rFonts w:ascii="Calibri" w:hAnsi="Calibri" w:cs="Calibri"/>
          <w:u w:val="single"/>
          <w:rtl w:val="true"/>
          <w:lang w:val="en-US" w:eastAsia="en-US"/>
        </w:rPr>
        <w:t>ד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כב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הנשיאה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ר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' </w:t>
      </w:r>
      <w:r>
        <w:rPr>
          <w:rFonts w:ascii="Calibri" w:hAnsi="Calibri" w:cs="Calibri"/>
          <w:u w:val="single"/>
          <w:rtl w:val="true"/>
          <w:lang w:val="en-US" w:eastAsia="en-US"/>
        </w:rPr>
        <w:t>יפה</w:t>
      </w:r>
      <w:r>
        <w:rPr>
          <w:rFonts w:cs="Calibri" w:ascii="Calibri" w:hAnsi="Calibri"/>
          <w:u w:val="single"/>
          <w:rtl w:val="true"/>
          <w:lang w:val="en-US" w:eastAsia="en-US"/>
        </w:rPr>
        <w:t>-</w:t>
      </w:r>
      <w:r>
        <w:rPr>
          <w:rFonts w:ascii="Calibri" w:hAnsi="Calibri" w:cs="Calibri"/>
          <w:u w:val="single"/>
          <w:rtl w:val="true"/>
          <w:lang w:val="en-US" w:eastAsia="en-US"/>
        </w:rPr>
        <w:t>כץ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Calibri"/>
          <w:u w:val="single"/>
          <w:rtl w:val="true"/>
          <w:lang w:val="en-US" w:eastAsia="en-US"/>
        </w:rPr>
        <w:t>ערעור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ההגנה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על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חומרת</w:t>
      </w:r>
      <w:r>
        <w:rPr>
          <w:rFonts w:ascii="Calibri" w:hAnsi="Calibri" w:cs="Calibri"/>
          <w:u w:val="single"/>
          <w:rtl w:val="true"/>
          <w:lang w:val="en-US" w:eastAsia="en-US"/>
        </w:rPr>
        <w:t xml:space="preserve"> </w:t>
      </w:r>
      <w:r>
        <w:rPr>
          <w:rFonts w:ascii="Calibri" w:hAnsi="Calibri" w:cs="Calibri"/>
          <w:u w:val="single"/>
          <w:rtl w:val="true"/>
          <w:lang w:val="en-US" w:eastAsia="en-US"/>
        </w:rPr>
        <w:t>העונש</w:t>
      </w: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מתחמים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דומים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נפסקו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לאחרונה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במספר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גזרי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שניתנו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בנסיבות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דומות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ראו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30406-04-16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אבו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עאמר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; </w:t>
      </w:r>
      <w:hyperlink r:id="rId2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65912-01-18</w:t>
        </w:r>
      </w:hyperlink>
      <w:r>
        <w:rPr>
          <w:rFonts w:cs="Calibri" w:ascii="Calibri" w:hAnsi="Calibri"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ישראל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אבו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מדעם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ואח</w:t>
      </w:r>
      <w:r>
        <w:rPr>
          <w:rFonts w:cs="Calibri" w:ascii="Calibri" w:hAnsi="Calibri"/>
          <w:b/>
          <w:bCs/>
          <w:rtl w:val="true"/>
          <w:lang w:val="en-US" w:eastAsia="en-US"/>
        </w:rPr>
        <w:t>'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; </w:t>
      </w:r>
      <w:hyperlink r:id="rId2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9569-10-18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 ישראל 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אלכדירי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; </w:t>
      </w:r>
      <w:hyperlink r:id="rId24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11098-06-18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 ישראל 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אלקורעאן 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 xml:space="preserve">גזרי הדין </w:t>
      </w:r>
      <w:r>
        <w:rPr>
          <w:rFonts w:ascii="Calibri" w:hAnsi="Calibri" w:cs="Calibri"/>
          <w:rtl w:val="true"/>
          <w:lang w:val="en-US" w:eastAsia="en-US"/>
        </w:rPr>
        <w:t>פורסמו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במאגרים</w:t>
      </w:r>
      <w:r>
        <w:rPr>
          <w:rFonts w:cs="Calibri" w:ascii="Calibri" w:hAnsi="Calibri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u w:val="single"/>
          <w:lang w:val="en-US" w:eastAsia="en-US"/>
        </w:rPr>
      </w:pPr>
      <w:r>
        <w:rPr>
          <w:rFonts w:cs="Calibri" w:ascii="Calibri" w:hAnsi="Calibri"/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לאחרונה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פורסמה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הנחיית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פרקליט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המדינה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</w:t>
      </w:r>
      <w:r>
        <w:rPr>
          <w:rFonts w:cs="Calibri" w:ascii="Calibri" w:hAnsi="Calibri"/>
          <w:rtl w:val="true"/>
          <w:lang w:val="en-US" w:eastAsia="en-US"/>
        </w:rPr>
        <w:t xml:space="preserve">'  </w:t>
      </w:r>
      <w:r>
        <w:rPr>
          <w:rFonts w:cs="Calibri" w:ascii="Calibri" w:hAnsi="Calibri"/>
          <w:lang w:val="en-US" w:eastAsia="en-US"/>
        </w:rPr>
        <w:t>9.16</w:t>
      </w:r>
      <w:r>
        <w:rPr>
          <w:rFonts w:cs="Calibri" w:ascii="Calibri" w:hAnsi="Calibri"/>
          <w:rtl w:val="true"/>
          <w:lang w:val="en-US" w:eastAsia="en-US"/>
        </w:rPr>
        <w:t xml:space="preserve"> (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ג</w:t>
      </w:r>
      <w:r>
        <w:rPr>
          <w:rFonts w:cs="Calibri" w:ascii="Calibri" w:hAnsi="Calibri"/>
          <w:rtl w:val="true"/>
          <w:lang w:val="en-US" w:eastAsia="en-US"/>
        </w:rPr>
        <w:t xml:space="preserve">' </w:t>
      </w:r>
      <w:r>
        <w:rPr>
          <w:rFonts w:ascii="Calibri" w:hAnsi="Calibri" w:cs="Calibri"/>
          <w:rtl w:val="true"/>
          <w:lang w:val="en-US" w:eastAsia="en-US"/>
        </w:rPr>
        <w:t>אב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תשע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ו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cs="Calibri" w:ascii="Calibri" w:hAnsi="Calibri"/>
          <w:lang w:val="en-US" w:eastAsia="en-US"/>
        </w:rPr>
        <w:t>07/08/16</w:t>
      </w:r>
      <w:r>
        <w:rPr>
          <w:rFonts w:cs="Calibri" w:ascii="Calibri" w:hAnsi="Calibri"/>
          <w:rtl w:val="true"/>
          <w:lang w:val="en-US" w:eastAsia="en-US"/>
        </w:rPr>
        <w:t xml:space="preserve">) </w:t>
      </w:r>
      <w:r>
        <w:rPr>
          <w:rFonts w:ascii="Calibri" w:hAnsi="Calibri" w:cs="Calibri"/>
          <w:rtl w:val="true"/>
          <w:lang w:val="en-US" w:eastAsia="en-US"/>
        </w:rPr>
        <w:t>בנוגע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למדיניות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במסגרתה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הונחתה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התביעה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הכללית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לפעול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לכיוון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הסיכון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הנשקף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והאינטרס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הציבורי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במיגורן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התביעה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הכללית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הונחתה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לדרוש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לתקופה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ממשית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המדובר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ראשונה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מבחינת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מדרג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החומרה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הוצבה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סער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מקלע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ברמה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לפני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הרמה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החמורה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ביותר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ואילו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ברמה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נמוכה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יותר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לנוכח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הפסיקה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שפורטה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באותה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הנחיה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הונחתה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התביעה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הכללית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לטעון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למתחם</w:t>
      </w:r>
      <w:r>
        <w:rPr>
          <w:rFonts w:cs="Calibri" w:ascii="Calibri" w:hAnsi="Calibri"/>
          <w:rtl w:val="true"/>
          <w:lang w:val="en-US" w:eastAsia="en-US"/>
        </w:rPr>
        <w:t>,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שינוע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שנתיים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ארבע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בודדת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רובה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מקלע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לשלוש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קצר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מסוג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אקדח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לריצוי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בדרך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עבודות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שירות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בפועל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בגין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תחמושת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סיכומו של דבר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מסוג אקדח </w:t>
      </w:r>
      <w:r>
        <w:rPr>
          <w:rFonts w:ascii="Calibri" w:hAnsi="Calibri" w:cs="Calibri"/>
          <w:rtl w:val="true"/>
          <w:lang w:val="en-US" w:eastAsia="en-US"/>
        </w:rPr>
        <w:t>–</w:t>
      </w:r>
      <w:r>
        <w:rPr>
          <w:rFonts w:ascii="Calibri" w:hAnsi="Calibri" w:cs="Calibri"/>
          <w:rtl w:val="true"/>
          <w:lang w:val="en-US" w:eastAsia="en-US"/>
        </w:rPr>
        <w:t xml:space="preserve"> מתחם הענישה הנוהג בפסיקה העדכנית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נע בין שנה עד שנתיים מאסר בפועל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הנוגע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לאחזקת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 xml:space="preserve">החפץ דמוי תת מקלע </w:t>
      </w:r>
      <w:r>
        <w:rPr>
          <w:rFonts w:ascii="Calibri" w:hAnsi="Calibri" w:cs="Calibri"/>
          <w:rtl w:val="true"/>
          <w:lang w:val="en-US" w:eastAsia="en-US"/>
        </w:rPr>
        <w:t>–</w:t>
      </w:r>
      <w:r>
        <w:rPr>
          <w:rFonts w:ascii="Calibri" w:hAnsi="Calibri" w:cs="Calibri"/>
          <w:rtl w:val="true"/>
          <w:lang w:val="en-US" w:eastAsia="en-US"/>
        </w:rPr>
        <w:t xml:space="preserve"> לא נרשם בכתב האישום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 המדובר בנשק של ממש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אף לא בתת מקלע מאולתר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אלא בחפץ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דמוי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>תת מקלע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כמו כן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הנאשם הורשע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בסופו של דבר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בעבירה </w:t>
      </w:r>
      <w:r>
        <w:rPr>
          <w:rFonts w:ascii="Calibri" w:hAnsi="Calibri" w:cs="Calibri"/>
          <w:u w:val="single"/>
          <w:rtl w:val="true"/>
          <w:lang w:val="en-US" w:eastAsia="en-US"/>
        </w:rPr>
        <w:t>אחת</w:t>
      </w:r>
      <w:r>
        <w:rPr>
          <w:rFonts w:ascii="Calibri" w:hAnsi="Calibri" w:cs="Calibri"/>
          <w:rtl w:val="true"/>
          <w:lang w:val="en-US" w:eastAsia="en-US"/>
        </w:rPr>
        <w:t xml:space="preserve"> שענינה אחזקת נשק שלא כדין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ולא בשתי עבירות</w:t>
      </w:r>
      <w:r>
        <w:rPr>
          <w:rFonts w:cs="Calibri" w:ascii="Calibri" w:hAnsi="Calibri"/>
          <w:rtl w:val="true"/>
          <w:lang w:val="en-US" w:eastAsia="en-US"/>
        </w:rPr>
        <w:t xml:space="preserve">). </w:t>
      </w:r>
      <w:r>
        <w:rPr>
          <w:rFonts w:ascii="Calibri" w:hAnsi="Calibri" w:cs="Calibri"/>
          <w:rtl w:val="true"/>
          <w:lang w:val="en-US" w:eastAsia="en-US"/>
        </w:rPr>
        <w:t>בנסיבות אלה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נע מתחם הענישה בגין אחזקת חפץ 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שטיבו המדויק לא בורר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ואינו ידוע </w:t>
      </w:r>
      <w:r>
        <w:rPr>
          <w:rFonts w:ascii="Calibri" w:hAnsi="Calibri" w:cs="Calibri"/>
          <w:rtl w:val="true"/>
          <w:lang w:val="en-US" w:eastAsia="en-US"/>
        </w:rPr>
        <w:t>–</w:t>
      </w:r>
      <w:r>
        <w:rPr>
          <w:rFonts w:ascii="Calibri" w:hAnsi="Calibri" w:cs="Calibri"/>
          <w:rtl w:val="true"/>
          <w:lang w:val="en-US" w:eastAsia="en-US"/>
        </w:rPr>
        <w:t xml:space="preserve"> החל מעונש מאסר צופה פני עתיד ועד </w:t>
      </w: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 מאסר בפועל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cs="Times New Roman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למתחם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הכולל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בגין האירוע כולו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כלומר הן החזקת האקדח והן החפץ 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דמוי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ascii="Calibri" w:hAnsi="Calibri" w:cs="Calibri"/>
          <w:rtl w:val="true"/>
          <w:lang w:val="en-US" w:eastAsia="en-US"/>
        </w:rPr>
        <w:t xml:space="preserve">תת מקלע </w:t>
      </w:r>
      <w:r>
        <w:rPr>
          <w:rFonts w:cs="Calibri" w:ascii="Calibri" w:hAnsi="Calibri"/>
          <w:rtl w:val="true"/>
          <w:lang w:val="en-US" w:eastAsia="en-US"/>
        </w:rPr>
        <w:t xml:space="preserve">- </w:t>
      </w:r>
      <w:r>
        <w:rPr>
          <w:rFonts w:ascii="Calibri" w:hAnsi="Calibri" w:cs="Calibri"/>
          <w:rtl w:val="true"/>
          <w:lang w:val="en-US" w:eastAsia="en-US"/>
        </w:rPr>
        <w:t>יועמד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שנה ועד שנתיים ומחצה מאסר בפועל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ascii="Calibri" w:hAnsi="Calibri" w:cs="Calibri"/>
          <w:b/>
          <w:b/>
          <w:bCs/>
          <w:rtl w:val="true"/>
          <w:lang w:val="en-US" w:eastAsia="en-US"/>
        </w:rPr>
        <w:t>קביעת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הענישה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הספציפית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בענינו של הנאשם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b/>
          <w:bCs/>
          <w:lang w:val="en-US" w:eastAsia="en-US"/>
        </w:rPr>
      </w:pPr>
      <w:r>
        <w:rPr>
          <w:rFonts w:cs="Calibri" w:ascii="Calibri" w:hAnsi="Calibri"/>
          <w:b/>
          <w:bCs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הצורך בהחמרה בענישה בעבירות מסוג זה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בגזר דין שניתן לאחרונה </w:t>
      </w:r>
      <w:r>
        <w:rPr>
          <w:rFonts w:cs="Calibri" w:ascii="Calibri" w:hAnsi="Calibri"/>
          <w:rtl w:val="true"/>
          <w:lang w:val="en-US" w:eastAsia="en-US"/>
        </w:rPr>
        <w:t>(</w:t>
      </w:r>
      <w:hyperlink r:id="rId25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.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.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52337-07-18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מדינת ישראל 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אבו מוסא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ניתן ביום </w:t>
      </w:r>
      <w:r>
        <w:rPr>
          <w:rFonts w:cs="Calibri" w:ascii="Calibri" w:hAnsi="Calibri"/>
          <w:lang w:val="en-US" w:eastAsia="en-US"/>
        </w:rPr>
        <w:t>27.06.19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>אף הוכרו כ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מכת אזור</w:t>
      </w:r>
      <w:r>
        <w:rPr>
          <w:rFonts w:cs="Calibri" w:ascii="Calibri" w:hAnsi="Calibri"/>
          <w:rtl w:val="true"/>
          <w:lang w:val="en-US" w:eastAsia="en-US"/>
        </w:rPr>
        <w:t xml:space="preserve">" </w:t>
      </w:r>
      <w:r>
        <w:rPr>
          <w:rFonts w:cs="Calibri" w:ascii="Calibri" w:hAnsi="Calibri"/>
          <w:rtl w:val="true"/>
          <w:lang w:val="en-US" w:eastAsia="en-US"/>
        </w:rPr>
        <w:t>–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הוא ברור ואף מתבקש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ברם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הענישה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בכל מקרה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היא אינדיווידואלית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לאור נתוניו האישיים של הנאשם העומד לדין ונסיבות העבירה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בפסק דין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שנית לאחרונה ממש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בבית המשפט המחוזי בבאר שבע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בשבתו כבית משפט לערעורים פליליים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נתקבל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ברוב דיעות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ערעור ההגנה על עונשו של נאשם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שהחזיק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בין היתר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רובה סער 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לי תקני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מוכן לשימוש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u w:val="single"/>
          <w:rtl w:val="true"/>
          <w:lang w:val="en-US" w:eastAsia="en-US"/>
        </w:rPr>
        <w:t>שאף נעשה בו שימוש פלילי בעבר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בית המשפט המחוזי מצא להקל בעונש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תוך שציין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כי בכל מקרה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יש לנקוט בענישה מידתית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ראו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  <w:lang w:val="en-US" w:eastAsia="en-US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u w:val="single"/>
            <w:lang w:val="en-US" w:eastAsia="en-US"/>
          </w:rPr>
          <w:t>32503-04-19</w:t>
        </w:r>
      </w:hyperlink>
      <w:r>
        <w:rPr>
          <w:rFonts w:cs="David" w:ascii="David" w:hAnsi="David"/>
          <w:rtl w:val="true"/>
          <w:lang w:val="en-US" w:eastAsia="en-US"/>
        </w:rPr>
        <w:t xml:space="preserve"> </w:t>
      </w:r>
      <w:r>
        <w:rPr>
          <w:rFonts w:ascii="David" w:hAnsi="David"/>
          <w:b/>
          <w:b/>
          <w:bCs/>
          <w:rtl w:val="true"/>
          <w:lang w:val="en-US" w:eastAsia="en-US"/>
        </w:rPr>
        <w:t>אלקורעאן נ</w:t>
      </w:r>
      <w:r>
        <w:rPr>
          <w:rFonts w:cs="David" w:ascii="David" w:hAnsi="David"/>
          <w:b/>
          <w:bCs/>
          <w:rtl w:val="true"/>
          <w:lang w:val="en-US" w:eastAsia="en-US"/>
        </w:rPr>
        <w:t xml:space="preserve">'  </w:t>
      </w:r>
      <w:r>
        <w:rPr>
          <w:rFonts w:ascii="David" w:hAnsi="David"/>
          <w:b/>
          <w:b/>
          <w:bCs/>
          <w:rtl w:val="true"/>
          <w:lang w:val="en-US" w:eastAsia="en-US"/>
        </w:rPr>
        <w:t>מדינת ישראל</w:t>
      </w:r>
      <w:r>
        <w:rPr>
          <w:rFonts w:cs="David" w:ascii="David" w:hAnsi="David"/>
          <w:rtl w:val="true"/>
          <w:lang w:val="en-US" w:eastAsia="en-US"/>
        </w:rPr>
        <w:t xml:space="preserve">, </w:t>
      </w:r>
      <w:r>
        <w:rPr>
          <w:rFonts w:ascii="David" w:hAnsi="David"/>
          <w:rtl w:val="true"/>
          <w:lang w:val="en-US" w:eastAsia="en-US"/>
        </w:rPr>
        <w:t xml:space="preserve">פסק הדין מיום </w:t>
      </w:r>
      <w:r>
        <w:rPr>
          <w:rFonts w:cs="David" w:ascii="David" w:hAnsi="David"/>
          <w:lang w:val="en-US" w:eastAsia="en-US"/>
        </w:rPr>
        <w:t>12.06.19</w:t>
      </w:r>
      <w:r>
        <w:rPr>
          <w:rFonts w:cs="David" w:ascii="David" w:hAnsi="David"/>
          <w:rtl w:val="true"/>
          <w:lang w:val="en-US" w:eastAsia="en-US"/>
        </w:rPr>
        <w:t>.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בפסק דין נוסף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מהשבועות האחרונים ממש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הקל בית המשפט המחוזי בעונשו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של מי שהחזיק אקדח חצי אוטומטי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בצירוף תחמושת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נכון לפעולה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בנסיבות המצביעות על אחזקתו </w:t>
      </w:r>
      <w:r>
        <w:rPr>
          <w:rFonts w:ascii="Calibri" w:hAnsi="Calibri" w:cs="Calibri"/>
          <w:u w:val="single"/>
          <w:rtl w:val="true"/>
          <w:lang w:val="en-US" w:eastAsia="en-US"/>
        </w:rPr>
        <w:t>שלא לצורך הגנה עצמית או לעת מצוא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>שכן באותו מתחם מגורים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אצל אחיו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נתפסו לא פחות משלושה כלי נשק נוספים ותחמושת</w:t>
      </w:r>
      <w:r>
        <w:rPr>
          <w:rFonts w:cs="Calibri" w:ascii="Calibri" w:hAnsi="Calibri"/>
          <w:rtl w:val="true"/>
          <w:lang w:val="en-US" w:eastAsia="en-US"/>
        </w:rPr>
        <w:t xml:space="preserve">), </w:t>
      </w:r>
      <w:r>
        <w:rPr>
          <w:rFonts w:ascii="Calibri" w:hAnsi="Calibri" w:cs="Calibri"/>
          <w:rtl w:val="true"/>
          <w:lang w:val="en-US" w:eastAsia="en-US"/>
        </w:rPr>
        <w:t xml:space="preserve">והעמידו על </w:t>
      </w:r>
      <w:r>
        <w:rPr>
          <w:rFonts w:cs="Calibri" w:ascii="Calibri" w:hAnsi="Calibri"/>
          <w:lang w:val="en-US" w:eastAsia="en-US"/>
        </w:rPr>
        <w:t>14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 מאסר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חלף עונש בן </w:t>
      </w:r>
      <w:r>
        <w:rPr>
          <w:rFonts w:cs="Calibri" w:ascii="Calibri" w:hAnsi="Calibri"/>
          <w:lang w:val="en-US" w:eastAsia="en-US"/>
        </w:rPr>
        <w:t>18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שנגזר עליו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 xml:space="preserve">ראו 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עפ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ג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23083-03-19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אבו מדע</w:t>
      </w:r>
      <w:r>
        <w:rPr>
          <w:rFonts w:cs="Calibri" w:ascii="Calibri" w:hAnsi="Calibri"/>
          <w:b/>
          <w:bCs/>
          <w:rtl w:val="true"/>
          <w:lang w:val="en-US" w:eastAsia="en-US"/>
        </w:rPr>
        <w:t>'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ם ואח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>נ</w:t>
      </w:r>
      <w:r>
        <w:rPr>
          <w:rFonts w:cs="Calibri" w:ascii="Calibri" w:hAnsi="Calibri"/>
          <w:b/>
          <w:bCs/>
          <w:rtl w:val="true"/>
          <w:lang w:val="en-US" w:eastAsia="en-US"/>
        </w:rPr>
        <w:t xml:space="preserve">' </w:t>
      </w:r>
      <w:r>
        <w:rPr>
          <w:rFonts w:ascii="Calibri" w:hAnsi="Calibri" w:cs="Calibri"/>
          <w:b/>
          <w:b/>
          <w:bCs/>
          <w:rtl w:val="true"/>
          <w:lang w:val="en-US" w:eastAsia="en-US"/>
        </w:rPr>
        <w:t xml:space="preserve">מדינת ישראל </w:t>
      </w:r>
      <w:r>
        <w:rPr>
          <w:rFonts w:cs="Calibri" w:ascii="Calibri" w:hAnsi="Calibri"/>
          <w:rtl w:val="true"/>
          <w:lang w:val="en-US" w:eastAsia="en-US"/>
        </w:rPr>
        <w:t>(</w:t>
      </w:r>
      <w:r>
        <w:rPr>
          <w:rFonts w:ascii="Calibri" w:hAnsi="Calibri" w:cs="Calibri"/>
          <w:rtl w:val="true"/>
          <w:lang w:val="en-US" w:eastAsia="en-US"/>
        </w:rPr>
        <w:t xml:space="preserve">פסק הדין מיום </w:t>
      </w:r>
      <w:r>
        <w:rPr>
          <w:rFonts w:cs="Calibri" w:ascii="Calibri" w:hAnsi="Calibri"/>
          <w:lang w:val="en-US" w:eastAsia="en-US"/>
        </w:rPr>
        <w:t>17.07.19</w:t>
      </w:r>
      <w:r>
        <w:rPr>
          <w:rFonts w:cs="Calibri" w:ascii="Calibri" w:hAnsi="Calibri"/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u w:val="single"/>
          <w:rtl w:val="true"/>
          <w:lang w:val="en-US" w:eastAsia="en-US"/>
        </w:rPr>
        <w:t>במקרה מיוחד זה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Calibri"/>
          <w:u w:val="single"/>
          <w:rtl w:val="true"/>
          <w:lang w:val="en-US" w:eastAsia="en-US"/>
        </w:rPr>
        <w:t>מוצא בית המשפט לאמץ המלצתו הטיפולית של שירות המבחן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Calibri"/>
          <w:u w:val="single"/>
          <w:rtl w:val="true"/>
          <w:lang w:val="en-US" w:eastAsia="en-US"/>
        </w:rPr>
        <w:t>תוך חריגה לקולה ממתחם הענישה</w:t>
      </w:r>
      <w:r>
        <w:rPr>
          <w:rFonts w:cs="Calibri" w:ascii="Calibri" w:hAnsi="Calibri"/>
          <w:u w:val="single"/>
          <w:rtl w:val="true"/>
          <w:lang w:val="en-US" w:eastAsia="en-US"/>
        </w:rPr>
        <w:t xml:space="preserve">, </w:t>
      </w:r>
      <w:r>
        <w:rPr>
          <w:rFonts w:ascii="Calibri" w:hAnsi="Calibri" w:cs="Calibri"/>
          <w:u w:val="single"/>
          <w:rtl w:val="true"/>
          <w:lang w:val="en-US" w:eastAsia="en-US"/>
        </w:rPr>
        <w:t>מטעמי שיקום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כאמור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מבחינת טיב הנשק שהוחזק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המדובר באקדח ובחפץ נוסף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שטיבו לא הוברר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וקשה לקבוע ממצא בנוגע למסוכנות העולה ממנו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 דנן מורשה לשאת נשק ארגוני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והינו אף לאחר שירות צבאי ארוך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בסדיר ובקבע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ביחידה לוחמת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כך שהוא בקי בשימוש בנשק ומודע לסיכון הגלום בו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המדובר בנאשם שהוא אב למשפחה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מפרנס תשעה ילדים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הנאשם לא הסתבך עם החוק כלל בעבר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לא הוצגה אינדיקציה כלשהי לפעילות שלילית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פלילית או אחרת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הקשורה להחזקת הנשק נושא כתב האישום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לאחר הליך הערכה ארוך בשירות המבחן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גובש הליך טיפולי מתאים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אשר הנאשם מביע מוטיבציה גבוהה להשתלב בו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ביום פקודה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 בית המשפט ליקח בחשבון גם את תרומתו הארוכה של הנאשם למדינת ולחברה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כבן למשפחה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שקשרה את גורלה עם המדינה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דור שלישי לשירות בצה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ל ובכוחות הבטחון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u w:val="single"/>
          <w:rtl w:val="true"/>
          <w:lang w:val="en-US" w:eastAsia="en-US"/>
        </w:rPr>
        <w:t>בהתנדבות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כאשר הנאשם נטל חלק בפעולות צבאיות משמעותיות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 xml:space="preserve">הערכות מפקדיו של הנאשם </w:t>
      </w:r>
      <w:r>
        <w:rPr>
          <w:rFonts w:ascii="Calibri" w:hAnsi="Calibri" w:cs="Calibri"/>
          <w:u w:val="single"/>
          <w:rtl w:val="true"/>
          <w:lang w:val="en-US" w:eastAsia="en-US"/>
        </w:rPr>
        <w:t>יוצאות דופן לטובה</w:t>
      </w:r>
      <w:r>
        <w:rPr>
          <w:rFonts w:ascii="Calibri" w:hAnsi="Calibri" w:cs="Calibri"/>
          <w:rtl w:val="true"/>
          <w:lang w:val="en-US" w:eastAsia="en-US"/>
        </w:rPr>
        <w:t xml:space="preserve"> ומדברות בעד עצמן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מי שהתנהל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כל מהלך חייו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בדרך הישר ומתוך רצון לתרום לחברה ולהיטיב עם המדינה בה שוהה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זכאי לקבל להזדמנות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 xml:space="preserve">כאשר טעה וחרג מהנורמה </w:t>
      </w:r>
      <w:r>
        <w:rPr>
          <w:rFonts w:ascii="Calibri" w:hAnsi="Calibri" w:cs="Calibri"/>
          <w:rtl w:val="true"/>
          <w:lang w:val="en-US" w:eastAsia="en-US"/>
        </w:rPr>
        <w:t>–</w:t>
      </w:r>
      <w:r>
        <w:rPr>
          <w:rFonts w:ascii="Calibri" w:hAnsi="Calibri" w:cs="Calibri"/>
          <w:rtl w:val="true"/>
          <w:lang w:val="en-US" w:eastAsia="en-US"/>
        </w:rPr>
        <w:t xml:space="preserve"> חריגה חד פעמית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לאיזון התמונה הענישתית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יתווסף עיצום כספי משמעותי ומרתיע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cs="Calibri"/>
          <w:rtl w:val="true"/>
          <w:lang w:val="en-US" w:eastAsia="en-US"/>
        </w:rPr>
        <w:t>לאחר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שבית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המשפט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שקל את טענות הצדדים</w:t>
      </w:r>
      <w:r>
        <w:rPr>
          <w:rFonts w:cs="Calibri" w:ascii="Calibri" w:hAnsi="Calibri"/>
          <w:rtl w:val="true"/>
          <w:lang w:val="en-US" w:eastAsia="en-US"/>
        </w:rPr>
        <w:t>;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במוצגים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שהוגשו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עיין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בתסקיר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עיין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בפסיקה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שהוגשה</w:t>
      </w:r>
      <w:r>
        <w:rPr>
          <w:rFonts w:cs="Calibri" w:ascii="Calibri" w:hAnsi="Calibri"/>
          <w:rtl w:val="true"/>
          <w:lang w:val="en-US" w:eastAsia="en-US"/>
        </w:rPr>
        <w:t xml:space="preserve">; </w:t>
      </w:r>
      <w:r>
        <w:rPr>
          <w:rFonts w:ascii="Calibri" w:hAnsi="Calibri" w:cs="Calibri"/>
          <w:rtl w:val="true"/>
          <w:lang w:val="en-US" w:eastAsia="en-US"/>
        </w:rPr>
        <w:t>שמע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דברו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האחרון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– </w:t>
      </w:r>
      <w:r>
        <w:rPr>
          <w:rFonts w:ascii="Calibri" w:hAnsi="Calibri" w:cs="Calibri"/>
          <w:rtl w:val="true"/>
          <w:lang w:val="en-US" w:eastAsia="en-US"/>
        </w:rPr>
        <w:t>דן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לענשים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כדלקמן</w:t>
      </w:r>
      <w:r>
        <w:rPr>
          <w:rFonts w:cs="Calibri" w:ascii="Calibri" w:hAnsi="Calibri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בהתאם לחוות דעת הממונה על עבודות השירות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ירצה הנאשם המאסר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במועצה הדתית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יהודה הלוי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חמישה ימים בשבוע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בהתאם לטווח השעות עליו יורו הממונים במקום העבודה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הנאשם להתייצב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07.11.19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שעה </w:t>
      </w:r>
      <w:r>
        <w:rPr>
          <w:rFonts w:cs="Arial" w:ascii="Arial" w:hAnsi="Arial"/>
        </w:rPr>
        <w:t>08:00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במשרד הממונה על עבודות השירות במחוז דרום בשב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ומשם ימשיך לריצוי העבודות בהתאם להנחיות שיקבל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מוזהר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 התייצבות  לריצוי עבודות השירות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אי שמיעה להוראות הממונים עליו במשרד הממונה על עבודות השירות או במקום ריצוי עבודות השירות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אי שיתוף פעולה עם משרד הממונה על עבודות השירות בכל ענין שהוא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לרבות מסירת בדיקות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עלול להביא להפקעה מנהלית של צו ריצוי המאסר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כל המשתמע מכך</w:t>
      </w:r>
      <w:r>
        <w:rPr>
          <w:rFonts w:cs="Arial" w:ascii="Arial" w:hAnsi="Arial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שחרורו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ממאסרו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בניגוד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תשל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1977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פרק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29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 xml:space="preserve">'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סימן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'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למעט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בניגוד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30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סיפא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לאותו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חוק</w:t>
      </w:r>
      <w:r>
        <w:rPr>
          <w:rFonts w:cs="Calibri" w:ascii="Calibri" w:hAnsi="Calibri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lang w:val="en-US" w:eastAsia="en-US"/>
        </w:rPr>
        <w:t>6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חדשי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תנאי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למשך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שנים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שחרורו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ממאסרו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שהנאשם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יעבור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עבירה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בניגוד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</w:t>
      </w:r>
      <w:hyperlink r:id="rId31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העונשין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תשל</w:t>
      </w:r>
      <w:r>
        <w:rPr>
          <w:rFonts w:cs="Calibri" w:ascii="Calibri" w:hAnsi="Calibri"/>
          <w:rtl w:val="true"/>
          <w:lang w:val="en-US" w:eastAsia="en-US"/>
        </w:rPr>
        <w:t>"</w:t>
      </w:r>
      <w:r>
        <w:rPr>
          <w:rFonts w:ascii="Calibri" w:hAnsi="Calibri" w:cs="Calibri"/>
          <w:rtl w:val="true"/>
          <w:lang w:val="en-US" w:eastAsia="en-US"/>
        </w:rPr>
        <w:t>ז</w:t>
      </w:r>
      <w:r>
        <w:rPr>
          <w:rFonts w:cs="Calibri" w:ascii="Calibri" w:hAnsi="Calibri"/>
          <w:rtl w:val="true"/>
          <w:lang w:val="en-US" w:eastAsia="en-US"/>
        </w:rPr>
        <w:t>-</w:t>
      </w:r>
      <w:r>
        <w:rPr>
          <w:rFonts w:cs="Calibri" w:ascii="Calibri" w:hAnsi="Calibri"/>
          <w:lang w:val="en-US" w:eastAsia="en-US"/>
        </w:rPr>
        <w:t>1977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hyperlink r:id="rId32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סיפא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hyperlink r:id="rId33"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lang w:val="en-US" w:eastAsia="en-US"/>
          </w:rPr>
          <w:t>186</w:t>
        </w:r>
      </w:hyperlink>
      <w:r>
        <w:rPr>
          <w:rFonts w:cs="Calibri" w:ascii="Calibri" w:hAnsi="Calibri"/>
          <w:rtl w:val="true"/>
          <w:lang w:val="en-US" w:eastAsia="en-US"/>
        </w:rPr>
        <w:t>;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lang w:val="en-US" w:eastAsia="en-US"/>
        </w:rPr>
      </w:pPr>
      <w:r>
        <w:rPr>
          <w:rFonts w:cs="Calibri" w:ascii="Calibri" w:hAnsi="Calibri"/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Calibri" w:hAnsi="Calibri" w:cs="Calibri"/>
          <w:lang w:val="en-US" w:eastAsia="en-US"/>
        </w:rPr>
      </w:pPr>
      <w:r>
        <w:rPr>
          <w:rFonts w:ascii="Calibri" w:hAnsi="Calibri" w:cs="Calibri"/>
          <w:rtl w:val="true"/>
          <w:lang w:val="en-US" w:eastAsia="en-US"/>
        </w:rPr>
        <w:t>קנס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בסך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25</w:t>
      </w:r>
      <w:r>
        <w:rPr>
          <w:rFonts w:cs="Calibri" w:ascii="Calibri" w:hAnsi="Calibri"/>
          <w:lang w:val="en-US" w:eastAsia="en-US"/>
        </w:rPr>
        <w:t>,000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cs="Times New Roman"/>
          <w:rtl w:val="true"/>
          <w:lang w:val="en-US" w:eastAsia="en-US"/>
        </w:rPr>
        <w:t>₪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90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מאסר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תמורתו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  <w:r>
        <w:rPr>
          <w:rFonts w:ascii="Calibri" w:hAnsi="Calibri" w:cs="Calibri"/>
          <w:rtl w:val="true"/>
          <w:lang w:val="en-US" w:eastAsia="en-US"/>
        </w:rPr>
        <w:t>הקנס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ישולם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עד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ליום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31</w:t>
      </w:r>
      <w:r>
        <w:rPr>
          <w:rFonts w:cs="Calibri" w:ascii="Calibri" w:hAnsi="Calibri"/>
          <w:lang w:val="en-US" w:eastAsia="en-US"/>
        </w:rPr>
        <w:t>.</w:t>
      </w:r>
      <w:r>
        <w:rPr>
          <w:rFonts w:cs="Calibri" w:ascii="Calibri" w:hAnsi="Calibri"/>
          <w:lang w:val="en-US" w:eastAsia="en-US"/>
        </w:rPr>
        <w:t>12</w:t>
      </w:r>
      <w:r>
        <w:rPr>
          <w:rFonts w:cs="Calibri" w:ascii="Calibri" w:hAnsi="Calibri"/>
          <w:lang w:val="en-US" w:eastAsia="en-US"/>
        </w:rPr>
        <w:t>.2019</w:t>
      </w:r>
      <w:r>
        <w:rPr>
          <w:rFonts w:cs="Calibri" w:ascii="Calibri" w:hAnsi="Calibri"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  <w:color w:val="FFFFFF"/>
          <w:sz w:val="2"/>
          <w:szCs w:val="2"/>
          <w:lang w:val="en-US" w:eastAsia="en-US"/>
        </w:rPr>
      </w:pPr>
      <w:r>
        <w:rPr>
          <w:rFonts w:cs="Calibri" w:ascii="Calibri" w:hAnsi="Calibri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Calibri" w:ascii="Calibri" w:hAnsi="Calibri"/>
          <w:color w:val="FFFFFF"/>
          <w:sz w:val="2"/>
          <w:szCs w:val="2"/>
          <w:lang w:val="en-US" w:eastAsia="en-US"/>
        </w:rPr>
        <w:t>54678313</w:t>
      </w:r>
      <w:r>
        <w:rPr>
          <w:rFonts w:ascii="Calibri" w:hAnsi="Calibri" w:cs="Calibri"/>
          <w:rtl w:val="true"/>
          <w:lang w:val="en-US" w:eastAsia="en-US"/>
        </w:rPr>
        <w:t>ככל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שלא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תוגש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בקשה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אחרת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מטעם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מהצדדים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בתוך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cs="Calibri" w:ascii="Calibri" w:hAnsi="Calibri"/>
          <w:lang w:val="en-US" w:eastAsia="en-US"/>
        </w:rPr>
        <w:t>45</w:t>
      </w:r>
      <w:r>
        <w:rPr>
          <w:rFonts w:cs="Calibri" w:ascii="Calibri" w:hAnsi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ימים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יחולטו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המוצגים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בתיק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החקירה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לרבות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כלי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הנשק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והתחמושת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נושא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כתב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האישום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או יושמדו</w:t>
      </w:r>
      <w:r>
        <w:rPr>
          <w:rFonts w:cs="Calibri" w:ascii="Calibri" w:hAnsi="Calibri"/>
          <w:rtl w:val="true"/>
          <w:lang w:val="en-US" w:eastAsia="en-US"/>
        </w:rPr>
        <w:t xml:space="preserve">, </w:t>
      </w:r>
      <w:r>
        <w:rPr>
          <w:rFonts w:ascii="Calibri" w:hAnsi="Calibri" w:cs="Calibri"/>
          <w:rtl w:val="true"/>
          <w:lang w:val="en-US" w:eastAsia="en-US"/>
        </w:rPr>
        <w:t>על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פי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שיקול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דעת</w:t>
      </w:r>
      <w:r>
        <w:rPr>
          <w:rFonts w:ascii="Calibri" w:hAnsi="Calibri" w:cs="Calibri"/>
          <w:rtl w:val="true"/>
          <w:lang w:val="en-US" w:eastAsia="en-US"/>
        </w:rPr>
        <w:t xml:space="preserve"> </w:t>
      </w:r>
      <w:r>
        <w:rPr>
          <w:rFonts w:ascii="Calibri" w:hAnsi="Calibri" w:cs="Calibri"/>
          <w:rtl w:val="true"/>
          <w:lang w:val="en-US" w:eastAsia="en-US"/>
        </w:rPr>
        <w:t>המאשימה</w:t>
      </w:r>
      <w:r>
        <w:rPr>
          <w:rFonts w:cs="Calibri" w:ascii="Calibri" w:hAnsi="Calibri"/>
          <w:rtl w:val="true"/>
          <w:lang w:val="en-US" w:eastAsia="en-US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Times New Roman"/>
          <w:sz w:val="22"/>
          <w:szCs w:val="22"/>
          <w:lang w:val="en-US" w:eastAsia="en-US"/>
        </w:rPr>
      </w:pPr>
      <w:r>
        <w:rPr>
          <w:rFonts w:cs="Times New Roman" w:ascii="Calibri" w:hAnsi="Calibri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bookmarkStart w:id="11" w:name="Nitan"/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י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א אלול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ט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11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ספטמבר </w:t>
      </w:r>
      <w:r>
        <w:rPr>
          <w:rFonts w:cs="Arial" w:ascii="Arial" w:hAnsi="Arial"/>
          <w:lang w:val="en-US" w:eastAsia="en-US"/>
        </w:rPr>
        <w:t>2019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במעמד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  <w:bookmarkEnd w:id="11"/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סולקין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35"/>
      <w:footerReference w:type="default" r:id="rId36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13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47445-08-17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נאיף בן מוסא גבועה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ing4Char">
    <w:name w:val="Heading 4 Char"/>
    <w:qFormat/>
    <w:rPr>
      <w:rFonts w:ascii="Times New Roman" w:hAnsi="Times New Roman" w:eastAsia="Times New Roman" w:cs="Narkisim"/>
      <w:b/>
      <w:bCs/>
      <w:sz w:val="24"/>
      <w:szCs w:val="24"/>
      <w:lang w:val="en-IL" w:eastAsia="en-IL"/>
    </w:rPr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  <w:lang w:val="en-IL" w:eastAsia="en-IL"/>
    </w:rPr>
  </w:style>
  <w:style w:type="character" w:styleId="CommentTextChar">
    <w:name w:val="Comment Tex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val="en-IL" w:eastAsia="en-IL"/>
    </w:rPr>
  </w:style>
  <w:style w:type="character" w:styleId="LineNumber">
    <w:name w:val="line number"/>
    <w:rPr/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סעיפים"/>
    <w:basedOn w:val="Normal"/>
    <w:qFormat/>
    <w:pPr>
      <w:spacing w:lineRule="auto" w:line="360"/>
      <w:jc w:val="both"/>
    </w:pPr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ascii="David" w:hAnsi="David" w:eastAsia="David" w:cs="David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93530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86" TargetMode="External"/><Relationship Id="rId7" Type="http://schemas.openxmlformats.org/officeDocument/2006/relationships/hyperlink" Target="http://www.nevo.co.il/law/70301/hCaS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16913730" TargetMode="External"/><Relationship Id="rId11" Type="http://schemas.openxmlformats.org/officeDocument/2006/relationships/hyperlink" Target="http://www.nevo.co.il/case/7791493" TargetMode="External"/><Relationship Id="rId12" Type="http://schemas.openxmlformats.org/officeDocument/2006/relationships/hyperlink" Target="http://www.nevo.co.il/case/5852404" TargetMode="External"/><Relationship Id="rId13" Type="http://schemas.openxmlformats.org/officeDocument/2006/relationships/hyperlink" Target="http://www.nevo.co.il/case/6000182" TargetMode="External"/><Relationship Id="rId14" Type="http://schemas.openxmlformats.org/officeDocument/2006/relationships/hyperlink" Target="http://www.nevo.co.il/case/22112345" TargetMode="External"/><Relationship Id="rId15" Type="http://schemas.openxmlformats.org/officeDocument/2006/relationships/hyperlink" Target="http://www.nevo.co.il/case/22001830" TargetMode="External"/><Relationship Id="rId16" Type="http://schemas.openxmlformats.org/officeDocument/2006/relationships/hyperlink" Target="http://www.nevo.co.il/case/22607175" TargetMode="External"/><Relationship Id="rId17" Type="http://schemas.openxmlformats.org/officeDocument/2006/relationships/hyperlink" Target="http://www.nevo.co.il/case/7791493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1778276" TargetMode="External"/><Relationship Id="rId21" Type="http://schemas.openxmlformats.org/officeDocument/2006/relationships/hyperlink" Target="http://www.nevo.co.il/case/21303448" TargetMode="External"/><Relationship Id="rId22" Type="http://schemas.openxmlformats.org/officeDocument/2006/relationships/hyperlink" Target="http://www.nevo.co.il/case/23588441" TargetMode="External"/><Relationship Id="rId23" Type="http://schemas.openxmlformats.org/officeDocument/2006/relationships/hyperlink" Target="http://www.nevo.co.il/case/25022775" TargetMode="External"/><Relationship Id="rId24" Type="http://schemas.openxmlformats.org/officeDocument/2006/relationships/hyperlink" Target="http://www.nevo.co.il/case/24278714" TargetMode="External"/><Relationship Id="rId25" Type="http://schemas.openxmlformats.org/officeDocument/2006/relationships/hyperlink" Target="http://www.nevo.co.il/case/24404287" TargetMode="External"/><Relationship Id="rId26" Type="http://schemas.openxmlformats.org/officeDocument/2006/relationships/hyperlink" Target="http://www.nevo.co.il/case/25623200" TargetMode="External"/><Relationship Id="rId27" Type="http://schemas.openxmlformats.org/officeDocument/2006/relationships/hyperlink" Target="http://www.nevo.co.il/case/25526059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law/70301/hCaS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law/70301/144.a" TargetMode="External"/><Relationship Id="rId33" Type="http://schemas.openxmlformats.org/officeDocument/2006/relationships/hyperlink" Target="http://www.nevo.co.il/law/70301/186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2019-09-19T11:52:00Z</dcterms:created>
  <dc:creator> </dc:creator>
  <dc:description/>
  <cp:keywords/>
  <dc:language>en-IL</dc:language>
  <cp:lastModifiedBy>h10</cp:lastModifiedBy>
  <dcterms:modified xsi:type="dcterms:W3CDTF">2019-09-19T11:52:00Z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נאיף בן מוסא גבועה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22935305;16913730;7791493:2;5852404;6000182;22112345;22001830;22607175;21778276;21303448;23588441;25022775;24278714;24404287;25623200;25526059</vt:lpwstr>
  </property>
  <property fmtid="{D5CDD505-2E9C-101B-9397-08002B2CF9AE}" pid="9" name="CITY">
    <vt:lpwstr>ב"ש</vt:lpwstr>
  </property>
  <property fmtid="{D5CDD505-2E9C-101B-9397-08002B2CF9AE}" pid="10" name="DATE">
    <vt:lpwstr>20190911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רון סולקין</vt:lpwstr>
  </property>
  <property fmtid="{D5CDD505-2E9C-101B-9397-08002B2CF9AE}" pid="14" name="LAWLISTTMP1">
    <vt:lpwstr>70301/144.a:3;144.b;hCaS;186</vt:lpwstr>
  </property>
  <property fmtid="{D5CDD505-2E9C-101B-9397-08002B2CF9AE}" pid="15" name="LAWYER">
    <vt:lpwstr>לימור לוגאסי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47445</vt:lpwstr>
  </property>
  <property fmtid="{D5CDD505-2E9C-101B-9397-08002B2CF9AE}" pid="22" name="NEWPARTB">
    <vt:lpwstr>08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380020190911</vt:lpwstr>
  </property>
  <property fmtid="{D5CDD505-2E9C-101B-9397-08002B2CF9AE}" pid="34" name="TYPE_N_DATE">
    <vt:lpwstr>38020190911</vt:lpwstr>
  </property>
  <property fmtid="{D5CDD505-2E9C-101B-9397-08002B2CF9AE}" pid="35" name="VOLUME">
    <vt:lpwstr/>
  </property>
  <property fmtid="{D5CDD505-2E9C-101B-9397-08002B2CF9AE}" pid="36" name="WORDNUMPAGES">
    <vt:lpwstr>10</vt:lpwstr>
  </property>
</Properties>
</file>