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47452-04-24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אסדי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53"/>
        <w:gridCol w:w="6952"/>
      </w:tblGrid>
      <w:tr>
        <w:trPr>
          <w:trHeight w:val="337" w:hRule="atLeast"/>
        </w:trPr>
        <w:tc>
          <w:tcPr>
            <w:tcW w:w="1553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</w:p>
        </w:tc>
        <w:tc>
          <w:tcPr>
            <w:tcW w:w="6952" w:type="dxa"/>
            <w:tcBorders/>
          </w:tcPr>
          <w:p>
            <w:pPr>
              <w:pStyle w:val="Header"/>
              <w:spacing w:lineRule="auto" w:line="254"/>
              <w:ind w:end="0"/>
              <w:jc w:val="end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Cs/>
              </w:rPr>
              <w:t>47452-04-24</w:t>
            </w:r>
          </w:p>
        </w:tc>
      </w:tr>
      <w:tr>
        <w:trPr>
          <w:trHeight w:val="337" w:hRule="atLeast"/>
        </w:trPr>
        <w:tc>
          <w:tcPr>
            <w:tcW w:w="1553" w:type="dxa"/>
            <w:tcBorders/>
          </w:tcPr>
          <w:p>
            <w:pPr>
              <w:pStyle w:val="Header"/>
              <w:bidi w:val="0"/>
              <w:snapToGrid w:val="false"/>
              <w:spacing w:lineRule="auto" w:line="254"/>
              <w:jc w:val="both"/>
              <w:rPr/>
            </w:pPr>
            <w:r>
              <w:rPr/>
            </w:r>
          </w:p>
        </w:tc>
        <w:tc>
          <w:tcPr>
            <w:tcW w:w="6952" w:type="dxa"/>
            <w:tcBorders/>
            <w:vAlign w:val="center"/>
          </w:tcPr>
          <w:p>
            <w:pPr>
              <w:pStyle w:val="Header"/>
              <w:spacing w:lineRule="auto" w:line="254"/>
              <w:ind w:end="0"/>
              <w:jc w:val="end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  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נתנאל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בנישו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Style w:val="TimesNewRomanTimesNewRoman"/>
                <w:rFonts w:ascii="David" w:hAnsi="David" w:cs="David"/>
              </w:rPr>
            </w:pPr>
            <w:r>
              <w:rPr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אסדי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  <w:r>
              <w:rPr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סרוגי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אולמן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eastAsia="David"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413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u w:val="single"/>
              </w:rPr>
            </w:pPr>
            <w:bookmarkStart w:id="7" w:name="PsakDin"/>
            <w:bookmarkEnd w:id="7"/>
            <w:r>
              <w:rPr>
                <w:b/>
                <w:b/>
                <w:bCs/>
                <w:u w:val="single"/>
                <w:rtl w:val="true"/>
              </w:rPr>
              <w:t>גזר</w:t>
            </w:r>
            <w:r>
              <w:rPr>
                <w:rFonts w:cs="Times New Roman"/>
                <w:b/>
                <w:b/>
                <w:bCs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eastAsia="David" w:cs="Arial"/>
          <w:b/>
          <w:bCs/>
        </w:rPr>
      </w:pPr>
      <w:r>
        <w:rPr>
          <w:rFonts w:eastAsia="David"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של </w:t>
      </w:r>
      <w:r>
        <w:rPr>
          <w:rFonts w:ascii="Arial" w:hAnsi="Arial" w:cs="Arial"/>
          <w:b/>
          <w:b/>
          <w:bCs/>
          <w:rtl w:val="true"/>
        </w:rPr>
        <w:t xml:space="preserve">סיוע לעבירות בנשק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נשיאה והובלה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7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רישה וסיפא </w:t>
      </w:r>
      <w:hyperlink r:id="rId8">
        <w:r>
          <w:rPr>
            <w:rStyle w:val="Hyperlink"/>
            <w:rFonts w:ascii="Arial" w:hAnsi="Arial" w:cs="Arial"/>
            <w:color w:val="0000FF"/>
            <w:rtl w:val="true"/>
          </w:rPr>
          <w:t>וסעיף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ובעבירה של שימוש ברכב ללא רשות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413</w:t>
        </w:r>
        <w:r>
          <w:rPr>
            <w:rStyle w:val="Hyperlink"/>
            <w:rFonts w:ascii="Arial" w:hAnsi="Arial" w:cs="Arial"/>
            <w:color w:val="0000FF"/>
            <w:rtl w:val="true"/>
          </w:rPr>
          <w:t>ג</w:t>
        </w:r>
      </w:hyperlink>
      <w:r>
        <w:rPr>
          <w:rFonts w:ascii="Arial" w:hAnsi="Arial" w:cs="Arial"/>
          <w:rtl w:val="true"/>
        </w:rPr>
        <w:t xml:space="preserve"> לחוק העונשין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כפי שתוקן בהחלטתי מהיום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ברקע העבירות בהן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עומד סכסוך שהתקיים בין קרוב משפחתו של הנאשם לבין שאדי נעמה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שאדי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המתגורר בדיר אל אסד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סכסוך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01.11.2023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החליטו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שזהותם אינם ידועה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לירות לעבר ביתו של שאדי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לצורך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הצטיידו ברכב יונדאי ובלפחות שלושה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 מחסניות ועשרות 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האחרים הגיעו בסמוך לביתו של שאדי באמצעות רכב היונדאי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לבושים בגדים כהים וראשיהם מכוסים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למנוע את זיהויים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ירדו מהרכב וביצעו ירי של לא פחות מארבעים וארבעה קליעים לעבר ביתו של שאדי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באותו הזמן שהו בבית ובחנייה מספר אנשים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מהירי נגרמו נזקים לכלי רכב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 מהכדורים חדרו לבית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מיד לאחר מכן חזרו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בניהם אחד חאתם אסדי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חאתם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לרכב היונדאי ואף הנאשם עלה לרכב זה וכולם נסעו יחד מהמקום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מסייע להם בנשיאת והובלת האקדחים בלא רשות על פי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בעצם נסיעתו עמם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נסיעה קצרה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רכב היונדאי נעצר כך שלא ניתן היה להמשיך לנסוע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והאחרים ירדו ממנו ונמלטו יחדיו רגלית מהמקום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האחרים נושאים את האקדחים וזאת בסיועו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בנתיב הימלטותם הבחינו האחרים ברכב טיוטה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נהגה אישה בהריון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 מהאחרים החליטו לשדוד את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לצורך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נצמדו אליו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כיוונו אקדחים לעבר הנהגת והורו לה לרדת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הנהגת ירדה מהרכב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בעלה שהגיע למקום ביקש שלא יעשו דבר לרכב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האחרים כיוונו לעברו שני אקדחים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מיד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הנאשם וחאתם למקום ונכנסו לתוך רכב הטיוטה בו היו האחרים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חאתם והאחרים נסעו ברכב ללא רשות בעליו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כשחלק מהאחרים ממשיכים לשאת ולהוביל את האקדחים הטעונים במחסניות והכדורים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אותו הלילה ובמרחק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מטרים מהמקום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אותר רכב הטיוטה עולה באש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 אף השתמש הנאשם ברכב הטיוטה ללא רשות בעליו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r>
        <w:rPr>
          <w:rFonts w:ascii="Arial" w:hAnsi="Arial" w:cs="Arial"/>
          <w:b/>
          <w:b/>
          <w:bCs/>
          <w:rtl w:val="true"/>
        </w:rPr>
        <w:t>הראיות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 הרישום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ממנו למדתי כי לחובתו שתי הרשעות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הראשונה משנת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עבירות שוד מזוין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 והובלת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ירי מנשק חם לאזור מגורים וקשירת קשר לעשות 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בגין הרשעה זו הוטלו על הנאשם </w:t>
      </w:r>
      <w:r>
        <w:rPr>
          <w:rFonts w:cs="Arial" w:ascii="Arial" w:hAnsi="Arial"/>
        </w:rPr>
        <w:t>57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ופיצוי לנפגע עבירה </w:t>
      </w:r>
      <w:r>
        <w:rPr>
          <w:rFonts w:cs="Arial" w:ascii="Arial" w:hAnsi="Arial"/>
          <w:rtl w:val="true"/>
        </w:rPr>
        <w:t>(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7500/14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11.05.2015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השנייה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</w:t>
      </w:r>
      <w:r>
        <w:rPr>
          <w:rFonts w:ascii="Arial" w:hAnsi="Arial" w:cs="Arial"/>
          <w:rtl w:val="true"/>
        </w:rPr>
        <w:t>עבירות שעני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נן סחר בנשק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נשיאת נשק וירי מנשק </w:t>
      </w:r>
      <w:r>
        <w:rPr>
          <w:rFonts w:ascii="Arial" w:hAnsi="Arial" w:cs="Arial"/>
          <w:rtl w:val="true"/>
        </w:rPr>
        <w:t>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בגין הרשעה זו הוטלו על הנאשם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לצד מאסר מותנה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וקנס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15678-02-2021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מסר כי מאסר מותנה זה בר הפעלה בענייננו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בטיעוניו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ascii="Arial" w:hAnsi="Arial" w:cs="Arial"/>
          <w:rtl w:val="true"/>
        </w:rPr>
        <w:t xml:space="preserve"> עומד על הערכים המוגנים בעבירה של נשיאת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 xml:space="preserve">כן הוא מדגיש את העובדה כי הנאשם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התובע מדגיש כי המתואר בכתב האישום משקף מציאות יומיומית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ממנה סובלת החברה בכלל והחברה הערבית בפרט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 מול המציאות האמורה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 השעה הוא בענישה מחמירה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באשר למתחם הענישה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לגזר הדין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17260-12-23</w:t>
        </w:r>
      </w:hyperlink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חאתם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/>
        <w:t>24-36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חאתם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/>
        <w:t>12-28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>מעבר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מפנה לגזרי דין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הורשעו הנאשמים בעבירות דומות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נגזרו עונשי מאסר הנעים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לריצוי בפועל לבין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הנאשם</w:t>
      </w:r>
      <w:r>
        <w:rPr>
          <w:rFonts w:ascii="Arial" w:hAnsi="Arial" w:cs="Arial"/>
          <w:rtl w:val="true"/>
        </w:rPr>
        <w:t xml:space="preserve"> טוען כי לאור הקשיים הראייתיים שהתעוררו בתיק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הנאשם בסופו של דבר להודות בכתב האישום המתוקן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במישור העובדתי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מדגיש הסניגור כי נשיאת הנשק בפועל בוצעה על ידי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רק נוכחות הנאשם ברכב הביאה לגיבוש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מוסיף ומדגיש כי למרשו לא היה שום מגע עם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ההודאה נבעה מהשיקול המרכזי של חיסכון בזמן שיפוטי יקר כבר בתחילת ההליך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מתרכז בעונשו של המעורב הנוסף בפרשה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חאתם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טוען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ישנם הבדלים מהותיים בין הנאשם לבין חאתם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חאתם ביצע את העבירה תוך כדי הפרת תנאי מעצר הבית בו שהה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חלקו של חאתם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שמפורט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חאתם נכח בשלב 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נהג ברכב שנלקח ללא רשות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להבדיל מהנאשם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שהה במקום בשלב 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הופיע לאחר שאירוע הירי הסתיים והצטרף רק בשלב הנסיעה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מפנה לעובדה כי גם לחתאם יש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טרם גזר הדין הוא הורשע בעבירות של גניבת כלי רכב ובהלנת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בהמשך 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סוקר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הנאשמים הואשמו בעבירות דומות או חמורות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שהוא מבקש לאבחנה לקולא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מעבר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מבקש להתחשב בנסיבותיו האישיות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אשתו ילדה בן לפני כחודש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הוא מבקש לזקוף לזכותו את החיסכון בזמן שיפוטי והעובדה כי לקח אחריות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מציין הסנגור את התנהגותו החיובית מאוד של הנאשם מאז נעצר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תומך באחרים בבית המעצר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מבקש הסנגור להעמיד את מתחם הענישה על </w:t>
      </w:r>
      <w:r>
        <w:rPr>
          <w:rFonts w:cs="Arial" w:ascii="Arial" w:hAnsi="Arial"/>
        </w:rPr>
        <w:t>6-10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אליהם יתווספו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מתוך המאסר המותנה העומד להפעלה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להסכמה בין הצדדים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הנאשם בדברו האחרון</w:t>
      </w:r>
      <w:r>
        <w:rPr>
          <w:rFonts w:ascii="Arial" w:hAnsi="Arial" w:cs="Arial"/>
          <w:rtl w:val="true"/>
        </w:rPr>
        <w:t xml:space="preserve"> מסר כי הוא מקבל אחריות מלאה על מעשיו וכי עשה טעות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שהוא אב לשני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תומך באחרים במעצר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ומשתתף בקבוצות טיפוליות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מעוניין לחזור למשפחתו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הערכים החברתיים המוגנים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hyperlink r:id="rId13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מגלם בחובו תכליות של הגנה על חיי האדם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שלום הציבור וביטחונו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מיני רבים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7971/23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אגבאריה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26.5.24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הסיכון הכרוך בנשיאת נשק שלא כדין מתבטא בחשש שהנושא נשק יעשה בו שימוש וכן באפשרות כי נשק זה יגיע לידיים אחרות </w:t>
      </w:r>
      <w:r>
        <w:rPr>
          <w:rFonts w:cs="Arial" w:ascii="Arial" w:hAnsi="Arial"/>
          <w:rtl w:val="true"/>
        </w:rPr>
        <w:t>(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הוא משליך על הביטחון במרחב הציבורי והפרטי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תחושת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פחות מכך על שלטון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הכרסום המתמיד בייחוד הפעלת הכוח על ידי מי שהוסמך לכך על פי 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עבירת השימוש ברכב ללא רשות נועדה להגן על קניינו של הפרט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פעם ביצוע עבירה זו פוגע לא רק ברכושו של הפרט אלא אף בתחושת ביטחונו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נסיבות הקשורות בביצוע העבירה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rtl w:val="true"/>
        </w:rPr>
        <w:t>בבואנו לקבוע את מתחם העונש ההולם למעשי העבירה שבוצעו על ידי הנאשם נעמוד על נסיבותיהם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בקביעת חומרת עבירת הנשק יש לקחת בחשבון את סוג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כמות הנשק והתחמושת ומטרת נשיאתו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סייע לאחרים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ביצעו ירי של 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באמצעות שלושה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לעבר בתים וכלי רכב בהם שהו אזרחים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סייע בנשיאה והובלת כלי הנשק בנסיעה ממקום הירי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נכנס הנאשם לרכב אחר שנלקח ללא רשות מבעליו על ידי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עדיין מחזיקים ונושאים את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המחסניות והכדורים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עושים בהם שימוש לצורך ביצוע עבירה זו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מציירים את הנסיבות האופפות את ביצוע העבירות בצבעים קודרים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המסוכנות והחומרה הרבה העולה מהן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לזכור כי הנאשם לא נטל חלק במעשי הירי ושוד הרכב שבוצעו על ידי החבורה ואף לא החזיק פיזית את כלי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נכח בעת שחבריו נשאו את כלי הנשק במרחב הציבורי וסייע להם בנשיאת האקדחים והובלתם וכן היה שותף לשימוש ברכב ללא רשות בעליו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כפי שציין בצדק התובע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המקרה הנוכחי מדגים בצורה ברורה את הסיכון הטמון בנשיאת נשק ללא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נעשה שימוש בנשק במספר הזדמנויות במהלך אותו אירוע מתמשך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בירי של ממש והן באיומים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ודוקו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כתב האישום אינו מבהיר מה מידת ידיעתו של הנאשם בנוגע לשימוש שנעשה בכלי הנשק כאמור על ידי המעורבים האחרים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לזקוף עובדות אלה לחובתו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להתעלם מפוטנציאל הנזק הטמון בעבירת הסיוע לנשיאת נשק ללא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שהומחש היטב לאורך כל האירוע המתואר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באופן דומה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לתת משקל לנזק הממשי שנגרם מהסיוע לנשיאת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למצער בחלק השני של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הנאשם כבר היה מודע היטב לעובדה כי חבריו נושאים נשק והמשיך בנסיעה עמם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ברכב לא 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העובדה כי הנאשם התמיד בחבירתו לאחרים גם לאחר שנאלצו לעזוב את רכב היונדאי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הוא מצטרף להמשך נסיעתם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נעשה בו שימוש ללא רשות הבעלים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תיאור הממעיט מחומרת דרך השגת הרכב האמור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אף היא מהווה נסיבה מחמירה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r>
        <w:br w:type="page"/>
      </w:r>
    </w:p>
    <w:p>
      <w:pPr>
        <w:pStyle w:val="Normal"/>
        <w:bidi w:val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מדיניות 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רבות נכתב על ידי בית המשפט העליון בנוגע לצורך בענישה מחמירה בעבירות הנשק לדרגותיהן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הצורך להילחם מלחמה שערה נגד התופעה הנרחבת של החזקה ושימוש בכלי נשק בלתי חוקיים עובר כחוט השני בפסיקת בתי המשפט בשנים האחרונות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מיני רבים </w:t>
      </w:r>
      <w:r>
        <w:rPr>
          <w:rFonts w:cs="Arial" w:ascii="Arial" w:hAnsi="Arial"/>
          <w:rtl w:val="true"/>
        </w:rPr>
        <w:t>(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סובח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5.11.19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309/22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ביאדסה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10.5.22</w:t>
      </w:r>
      <w:r>
        <w:rPr>
          <w:rFonts w:cs="Arial" w:ascii="Arial" w:hAnsi="Arial"/>
          <w:rtl w:val="true"/>
        </w:rPr>
        <w:t>),</w:t>
      </w:r>
      <w:r>
        <w:rPr>
          <w:rFonts w:cs="Arial" w:ascii="Arial" w:hAnsi="Arial"/>
          <w:color w:val="FF0000"/>
          <w:rtl w:val="true"/>
        </w:rPr>
        <w:t xml:space="preserve">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1695/22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גאנים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29.3.22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נקבעה רמת ענישה מחמירה באשר לעבירת נשיאה והובלת כלי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עניין </w:t>
      </w:r>
      <w:r>
        <w:rPr>
          <w:rFonts w:ascii="Arial" w:hAnsi="Arial" w:cs="Arial"/>
          <w:b/>
          <w:b/>
          <w:bCs/>
          <w:rtl w:val="true"/>
        </w:rPr>
        <w:t>אגבאריה</w:t>
      </w:r>
      <w:r>
        <w:rPr>
          <w:rFonts w:ascii="Arial" w:hAnsi="Arial" w:cs="Arial"/>
          <w:rtl w:val="true"/>
        </w:rPr>
        <w:t xml:space="preserve">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בו קבע בית המשפט העליון מתחם עונשי הנע בין </w:t>
      </w:r>
      <w:r>
        <w:rPr>
          <w:rFonts w:cs="Arial" w:ascii="Arial" w:hAnsi="Arial"/>
        </w:rPr>
        <w:t>30-42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לריצוי בפועל בגין עבירת החזקת נשק חם במרחב הציבורי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וראו גם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14.9.2022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באותו עניין הורשע הנאשם בנשיאת אקדח עת נסע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בהפרעה לשוטר ובכניסה ושהייה בישראל ללא היתר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באופן דומה נקבע גם ב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4077/22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28.7.2022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מגמת ההחמרה האמורה מן הראוי שתחול גם על מי אשר אך סייע לנשיאת והובלת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עם כי תוך התחשבות בהוראת המחוקק המעמידה את עונשו של המסייע על מחצית העונש של המבצע העיקרי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ובהתאם לנסיבות הפרטניות של כל מקרה ומקרה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אציין תחילה כי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זו הייתה גם הגישה המשתקפת מטיעוניהם של הצדדים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כאשר אנו עוסקים בסיוע לביצוע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הדין קובע עונש שגובהו מחצית מעונשו של המבצע העיקרי ויש להביא זאת בחשבון במסגרת קביעת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העונש המרבי הקבוע בחוק ביחס לעבירת נשיאה והובלת נשק הינו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כן העונש המרבי למסייע עומד על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מעבר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בשל תחולת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המזערי בשל סיוע כאמור הוא לא יפחת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עונש שאינו יכול להיות כולו על תנאי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יצוין כי בצידה של עבירת שימוש ברכב ללא רשות נקבע עונש של שלוש 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עמדתי לעיל על מגמתה המחמירה של הפסיקה בעבירת נשיאת נשק והובלתו ללא היתר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קביעות הפסיקה האמורות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בענייננו נקודת המוצא לעונש הראוי לנאשם מצויה בעונשו של המעורב הנוסף בפרשה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חאתם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בעניינו של חאתם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ענישה של </w:t>
      </w:r>
      <w:r>
        <w:rPr>
          <w:rFonts w:cs="Arial" w:ascii="Arial" w:hAnsi="Arial"/>
        </w:rPr>
        <w:t>12-28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הוא אף המתחם אליו עתר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הדמיון בין עניינם של השניים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כי מן הראוי לגזור את המתחם בענייננו ממתחם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בעיניי צורכי הענישה הכללים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שתוארו בהרחבה בפסיקה המצוטטת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עשויים להביא לקביעת מתחם ענישה מחמיר 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כעולה מכתב האישום נגד הנאשם ומגזר הדין של חאתם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קיימות נקודות דמיון מהותיות בין עניינם של השניים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לציין כי הנאשם הורשע בשתיים מהעבירות שבהן הורשע חאתם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נראה כי אלה היו העבירות בעלות המשקל הסגולי הרב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לעומת עבירת הפרת הוראה חוקית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חאתם לא היה מעורב באירוע 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החזיק בכלי הנשק באופן פיזי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לא נטל חלק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להצטרף לנסיעה יחד עם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מאידך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נבדל עניינו של חאתם לחומרה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חאתם נכח בעת ביצוע 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נטל בו חלק ולא יוחסה לו עבירה בקשר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חאתם הוא שנהג בפועל ברכב הטיוטה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לדמיון ולשוני בין מעשיו של הנאשם לבין אלה של חאתם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להרשעתו של זה האחרון בעבירה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בנוגע לנאשם דידן יש מקום לקבוע מתחם עונשי הנופל במקצת מזה של חאתם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,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8-20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נסיבות שאינן קשורות בעבירה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שאינן קשורות לביצוע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מצאתי להתחשב במצבו המשפחתי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לו אישה ושני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בנו השני נולד בעת 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להתחשב בהודאתו המהירה בביצוע העבירות לאחר שתוקן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לראות בכך קבלת אחריות על המעשים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יש לציין כי הודאה זו באה מבלי שנשמעו עדים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אשר חסך זמן שיפוטי יקר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מקום להתחשב בדברי החרטה אותם הביע הנאשם בפניי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האמור יש לתת משקל משמעותי לעובדה כי זו הרשעתו השלישית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בשתי הזדמנויות בעבר הורשע בעבירות חמורות וריצה עונשי מאסר ממושכים למדי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למד את הלקח ועירב עצמו פעם נוספת בעבירות בעלות גוון דומה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הפעם לא נטל חלק בירי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הרשעות אלה מבחינות בין עניינו של הנאשם לבין זה של חאתם הבחנה מהותית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מאחר שנראה כי חאתם זכה להקלה עונשית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בשל עברו הנקי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למקם את עניינו של הנאשם בחלקו הבינוני של המתחם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rtl w:val="true"/>
        </w:rPr>
        <w:t>העולה מדברנו עד 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עירב עצמו בביצוע עבירות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סייע לאחרים בנשיאה והובלה של מספר כלי נשק בהם מחסניות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נסע איתם ברכב בו נמלטו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שהאחרים ירו ירי מסיבי לעבר בית מיושב וכלי רכב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המשיך בחבירתו לאותם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כשנסע איתם ברכב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לקחו ללא רשות הבעלים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הם עדיין נושאים עמם את 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עדיין מסייע להם בכך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240" w:after="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צורך להכביר במילים על אודות החומרה הכוללת של האירוע המתואר בכתב האישום המתוקן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חלקו של הנאשם באותו אירוע היה מצומצם ומינורי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בעיניי יש בו להשפיע על 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כמובן מבלי להתעלם מכך שחלקו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שנלמד מכתב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הפריפריאלי ביותר באירוע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לא כלל מעורבות בירי ואף לא החזקה פיזית בכלי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מילא תפקיד אקטיבי בהשגת רכב הטויוטה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לזכותו של הנאשם עומדות נסיבותיו האישיות המקלות כפי שפורטו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הודאתו המהירה באשמה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כן יש להתחשב ברמת הענישה שנקבעה בפרשה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בנוגע לשותף חאתם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לחובת הנאשם העובדה כי ריצה שתי תקופות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בגין עבירות דומות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עבר פלילי זה יוצר אבחנה בין הנאשם לבין חאתם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יתרה מזו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נגד הנאשם תלוי ועומד מאסר מותנה בר הפעלה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בעיניי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חסד עשתה המאשימה עם הנאשם כאשר הסכימה כי עונש זה ירוצה מחציתו בחופף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שההסכמה האמורה היא חלק מהסדר הטיעון שנכרת ומאחר שהיא אינה חורגת באופן בולט מצרכי הענישה הראויים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רואה לנכון לכבד את עתירתם המשותפת של הצדדים בעניין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rtl w:val="true"/>
        </w:rPr>
        <w:t>על רקע כל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לריצוי בפועל מיום מעצרו בתיק זה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אני מפעיל את עונש המאסר המותנה מת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פ מחוזי חיפה </w:t>
      </w:r>
      <w:r>
        <w:rPr>
          <w:rFonts w:cs="Arial" w:ascii="Arial" w:hAnsi="Arial"/>
          <w:b/>
          <w:bCs/>
        </w:rPr>
        <w:t>15678-2-21</w:t>
      </w:r>
      <w:r>
        <w:rPr>
          <w:rFonts w:cs="Arial" w:ascii="Arial" w:hAnsi="Arial"/>
          <w:b/>
          <w:bCs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 xml:space="preserve">מיום </w:t>
      </w:r>
      <w:r>
        <w:rPr>
          <w:rFonts w:cs="Arial" w:ascii="Arial" w:hAnsi="Arial"/>
          <w:b/>
          <w:bCs/>
        </w:rPr>
        <w:t>18.07.2021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כך ש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ירוצו</w:t>
      </w:r>
      <w:r>
        <w:rPr>
          <w:rFonts w:ascii="Arial" w:hAnsi="Arial" w:cs="Arial"/>
          <w:b/>
          <w:b/>
          <w:bCs/>
          <w:rtl w:val="true"/>
        </w:rPr>
        <w:t xml:space="preserve"> במצטבר </w:t>
      </w:r>
      <w:r>
        <w:rPr>
          <w:rFonts w:ascii="Arial" w:hAnsi="Arial" w:cs="Arial"/>
          <w:b/>
          <w:b/>
          <w:bCs/>
          <w:rtl w:val="true"/>
        </w:rPr>
        <w:t>לעונש שנגזר בתיק הנוכחי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חודשים נוספים ירוצו </w:t>
      </w:r>
      <w:r>
        <w:rPr>
          <w:rFonts w:ascii="Arial" w:hAnsi="Arial" w:cs="Arial"/>
          <w:b/>
          <w:b/>
          <w:bCs/>
          <w:rtl w:val="true"/>
        </w:rPr>
        <w:t>בחופף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סה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כ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יהיה על הנאשם לרצות </w:t>
      </w:r>
      <w:r>
        <w:rPr>
          <w:rFonts w:cs="Arial" w:ascii="Arial" w:hAnsi="Arial"/>
          <w:b/>
          <w:bCs/>
          <w:u w:val="single"/>
        </w:rPr>
        <w:t>20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חודשי מאסר </w:t>
      </w:r>
      <w:r>
        <w:rPr>
          <w:rFonts w:ascii="Arial" w:hAnsi="Arial" w:cs="Arial"/>
          <w:b/>
          <w:b/>
          <w:bCs/>
          <w:u w:val="single"/>
          <w:rtl w:val="true"/>
        </w:rPr>
        <w:t>בפועל מיום מעצרו בתיק זה</w:t>
      </w:r>
      <w:r>
        <w:rPr>
          <w:rFonts w:cs="Arial" w:ascii="Arial" w:hAnsi="Arial"/>
          <w:b/>
          <w:bCs/>
          <w:u w:val="single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מותנים והתנאי הוא כי במשך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שנים מיום שחרורו ממאסר לא יעבור הנאשם עבירה </w:t>
      </w:r>
      <w:r>
        <w:rPr>
          <w:rFonts w:ascii="Arial" w:hAnsi="Arial" w:cs="Arial"/>
          <w:b/>
          <w:b/>
          <w:bCs/>
          <w:rtl w:val="true"/>
        </w:rPr>
        <w:t xml:space="preserve">לפי סעיפים </w:t>
      </w:r>
      <w:r>
        <w:rPr>
          <w:rFonts w:cs="Arial" w:ascii="Arial" w:hAnsi="Arial"/>
          <w:b/>
          <w:bCs/>
        </w:rPr>
        <w:t>144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או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 xml:space="preserve">או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2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תשל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1977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 ניסיון לעבור אחת העבירות האמורות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מותנים והתנאי הוא כי במשך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שנים מיום שחרורו ממאסר לא יעבור הנאשם עבירה לפי סעיף </w:t>
      </w:r>
      <w:r>
        <w:rPr>
          <w:rFonts w:cs="Arial" w:ascii="Arial" w:hAnsi="Arial"/>
          <w:b/>
          <w:bCs/>
        </w:rPr>
        <w:t>413</w:t>
      </w:r>
      <w:r>
        <w:rPr>
          <w:rFonts w:ascii="Arial" w:hAnsi="Arial" w:cs="Arial"/>
          <w:b/>
          <w:b/>
          <w:bCs/>
          <w:rtl w:val="true"/>
        </w:rPr>
        <w:t xml:space="preserve">ג </w:t>
      </w:r>
      <w:r>
        <w:rPr>
          <w:rFonts w:ascii="Arial" w:hAnsi="Arial" w:cs="Arial"/>
          <w:b/>
          <w:b/>
          <w:bCs/>
          <w:rtl w:val="true"/>
        </w:rPr>
        <w:t>ל</w:t>
      </w:r>
      <w:hyperlink r:id="rId24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תשל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1977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קנס בסך </w:t>
      </w:r>
      <w:r>
        <w:rPr>
          <w:rFonts w:cs="Arial" w:ascii="Arial" w:hAnsi="Arial"/>
          <w:b/>
          <w:bCs/>
        </w:rPr>
        <w:t>2,500</w:t>
      </w:r>
      <w:r>
        <w:rPr>
          <w:rFonts w:cs="Arial" w:ascii="Arial" w:hAnsi="Arial"/>
          <w:b/>
          <w:bCs/>
          <w:rtl w:val="true"/>
        </w:rPr>
        <w:t xml:space="preserve"> ₪ </w:t>
      </w:r>
      <w:r>
        <w:rPr>
          <w:rFonts w:ascii="Arial" w:hAnsi="Arial" w:cs="Arial"/>
          <w:b/>
          <w:b/>
          <w:bCs/>
          <w:rtl w:val="true"/>
        </w:rPr>
        <w:t xml:space="preserve">שישולם עד ליום </w:t>
      </w:r>
      <w:r>
        <w:rPr>
          <w:rFonts w:cs="Arial" w:ascii="Arial" w:hAnsi="Arial"/>
          <w:b/>
          <w:bCs/>
        </w:rPr>
        <w:t>31.12.2025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לא ישלם הנאשם קנס זה יאסר לתקופה נוספת של </w:t>
      </w:r>
      <w:r>
        <w:rPr>
          <w:rFonts w:ascii="Arial" w:hAnsi="Arial" w:cs="Arial"/>
          <w:b/>
          <w:b/>
          <w:bCs/>
          <w:rtl w:val="true"/>
        </w:rPr>
        <w:t>חודש ימים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1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אב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אוגוסט </w:t>
      </w:r>
      <w:r>
        <w:rPr>
          <w:rFonts w:cs="Arial" w:ascii="Arial" w:hAnsi="Arial"/>
          <w:b/>
          <w:bCs/>
        </w:rPr>
        <w:t>2024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בפומבי ובמעמד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בא כוחו ובא כוח </w:t>
      </w:r>
      <w:bookmarkEnd w:id="11"/>
      <w:r>
        <w:rPr>
          <w:rFonts w:ascii="Arial" w:hAnsi="Arial" w:cs="Arial"/>
          <w:b/>
          <w:b/>
          <w:bCs/>
          <w:rtl w:val="true"/>
        </w:rPr>
        <w:t>המאשימה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  <w:t xml:space="preserve">   </w:t>
        <w:tab/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נתנאל בנישו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47452-04-24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 נאסר אסדי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13c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13c" TargetMode="External"/><Relationship Id="rId11" Type="http://schemas.openxmlformats.org/officeDocument/2006/relationships/hyperlink" Target="http://www.nevo.co.il/case/18137376" TargetMode="External"/><Relationship Id="rId12" Type="http://schemas.openxmlformats.org/officeDocument/2006/relationships/hyperlink" Target="http://www.nevo.co.il/case/30257138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30168342" TargetMode="External"/><Relationship Id="rId16" Type="http://schemas.openxmlformats.org/officeDocument/2006/relationships/hyperlink" Target="http://www.nevo.co.il/case/17065136" TargetMode="External"/><Relationship Id="rId17" Type="http://schemas.openxmlformats.org/officeDocument/2006/relationships/hyperlink" Target="http://www.nevo.co.il/case/25824863" TargetMode="External"/><Relationship Id="rId18" Type="http://schemas.openxmlformats.org/officeDocument/2006/relationships/hyperlink" Target="http://www.nevo.co.il/case/28243273" TargetMode="External"/><Relationship Id="rId19" Type="http://schemas.openxmlformats.org/officeDocument/2006/relationships/hyperlink" Target="http://www.nevo.co.il/case/28384637" TargetMode="External"/><Relationship Id="rId20" Type="http://schemas.openxmlformats.org/officeDocument/2006/relationships/hyperlink" Target="http://www.nevo.co.il/case/28883087" TargetMode="External"/><Relationship Id="rId21" Type="http://schemas.openxmlformats.org/officeDocument/2006/relationships/hyperlink" Target="http://www.nevo.co.il/case/28697227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2024-08-21T12:17:00Z</dcterms:created>
  <dc:creator> </dc:creator>
  <dc:description/>
  <cp:keywords/>
  <dc:language>en-IL</dc:language>
  <cp:lastModifiedBy>h1</cp:lastModifiedBy>
  <dcterms:modified xsi:type="dcterms:W3CDTF">2024-08-21T12:17:00Z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נאסר אסדי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ProcID=209&amp;PartA=15678&amp;PartB=02&amp;PartC=20</vt:lpwstr>
  </property>
  <property fmtid="{D5CDD505-2E9C-101B-9397-08002B2CF9AE}" pid="9" name="CASENOTES2">
    <vt:lpwstr>ProcID=235&amp;PartA=24&amp;PartC=36</vt:lpwstr>
  </property>
  <property fmtid="{D5CDD505-2E9C-101B-9397-08002B2CF9AE}" pid="10" name="CASESLISTTMP1">
    <vt:lpwstr>18137376;30257138;30168342;17065136;25824863;28243273;28384637;28883087;28697227</vt:lpwstr>
  </property>
  <property fmtid="{D5CDD505-2E9C-101B-9397-08002B2CF9AE}" pid="11" name="CITY">
    <vt:lpwstr>חי'</vt:lpwstr>
  </property>
  <property fmtid="{D5CDD505-2E9C-101B-9397-08002B2CF9AE}" pid="12" name="DATE">
    <vt:lpwstr>20240818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נתנאל בנישו</vt:lpwstr>
  </property>
  <property fmtid="{D5CDD505-2E9C-101B-9397-08002B2CF9AE}" pid="16" name="LAWLISTTMP1">
    <vt:lpwstr>70301/144.b;031;413c;144</vt:lpwstr>
  </property>
  <property fmtid="{D5CDD505-2E9C-101B-9397-08002B2CF9AE}" pid="17" name="LAWYER">
    <vt:lpwstr>ראיד רחאל;שאדי סרוגי;תמי אולמן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47452</vt:lpwstr>
  </property>
  <property fmtid="{D5CDD505-2E9C-101B-9397-08002B2CF9AE}" pid="24" name="NEWPARTB">
    <vt:lpwstr>04</vt:lpwstr>
  </property>
  <property fmtid="{D5CDD505-2E9C-101B-9397-08002B2CF9AE}" pid="25" name="NEWPARTC">
    <vt:lpwstr>24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390020240818</vt:lpwstr>
  </property>
  <property fmtid="{D5CDD505-2E9C-101B-9397-08002B2CF9AE}" pid="36" name="TYPE_N_DATE">
    <vt:lpwstr>39020240818</vt:lpwstr>
  </property>
  <property fmtid="{D5CDD505-2E9C-101B-9397-08002B2CF9AE}" pid="37" name="VOLUME">
    <vt:lpwstr/>
  </property>
  <property fmtid="{D5CDD505-2E9C-101B-9397-08002B2CF9AE}" pid="38" name="WORDNUMPAGES">
    <vt:lpwstr>10</vt:lpwstr>
  </property>
</Properties>
</file>