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47493-03-18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אברין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נועה חסיד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עאדל ג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אברין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ראיס אבו סייף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5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8"/>
          <w:szCs w:val="28"/>
        </w:rPr>
      </w:pPr>
      <w:r>
        <w:rPr>
          <w:rFonts w:cs="David" w:ascii="David" w:hAnsi="David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ListParagraph"/>
        <w:spacing w:lineRule="auto" w:line="360"/>
        <w:ind w:hanging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  <w:tab/>
      </w:r>
      <w:bookmarkStart w:id="8" w:name="ABSTRACT_START"/>
      <w:bookmarkEnd w:id="8"/>
      <w:r>
        <w:rPr>
          <w:rFonts w:ascii="David" w:hAnsi="David"/>
          <w:rtl w:val="true"/>
        </w:rPr>
        <w:t xml:space="preserve">הנאשם הודה בכתב האישום המתוקן והורשע בביצוע עבירה של הסעה של תושב זר השוהה בישראל שלא כדין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ראו הכרעת הדין בעמוד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לפרוטוקול מיום </w:t>
      </w:r>
      <w:r>
        <w:rPr>
          <w:rFonts w:cs="David" w:ascii="David" w:hAnsi="David"/>
        </w:rPr>
        <w:t>16.12.19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9" w:name="ABSTRACT_END"/>
      <w:bookmarkEnd w:id="9"/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19.8.17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בכביש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צפון בסמוך למחלף סורק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הסיע ברכב </w:t>
      </w:r>
      <w:r>
        <w:rPr>
          <w:rFonts w:ascii="David" w:hAnsi="David"/>
          <w:rtl w:val="true"/>
        </w:rPr>
        <w:t>ארבעה</w:t>
      </w:r>
      <w:r>
        <w:rPr>
          <w:rFonts w:ascii="David" w:hAnsi="David"/>
          <w:rtl w:val="true"/>
        </w:rPr>
        <w:t xml:space="preserve"> תושבי האזור שלא החזיקו בהיתר שהייה כדין בישראל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תסקיר שרות המבחן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לעונש מטעם שרות המבחן שלהלן עיקריו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הנאשם הוא בן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בעת עריכת התסקיר בחודש מאי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מאורס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כיום הוא נשוי ואשתו בהיריון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נעדר עבר פלילי ובעל דפוסי חשיבה נורמטיביים שסובבים סביב פרנסת משפחתו והדאגה להוריו החולים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הוא נהג משאית במקצועו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בשנת </w:t>
      </w:r>
      <w:r>
        <w:rPr>
          <w:rFonts w:cs="David" w:ascii="David" w:hAnsi="David"/>
        </w:rPr>
        <w:t>2011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נפגע בתאונת דרכים ועבר ניתוח לקיבוע באמצעות פלטינות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הנאשם לקח אחריות מלאה על ביצוע העבירה שבה הורשע והביע חרטה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ענות 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הצדדים לעונש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שאמנם אין לנאשם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הפנתה לתדפיס רישום פלילי </w:t>
      </w:r>
      <w:r>
        <w:rPr>
          <w:rFonts w:ascii="David" w:hAnsi="David"/>
          <w:rtl w:val="true"/>
        </w:rPr>
        <w:t xml:space="preserve">שלו </w:t>
      </w:r>
      <w:r>
        <w:rPr>
          <w:rFonts w:ascii="David" w:hAnsi="David"/>
          <w:rtl w:val="true"/>
        </w:rPr>
        <w:t xml:space="preserve">בתחום התעבורה שכולל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יובהר שלא מדובר בהרשעות בבית משפט לתעבורה אלא הרשעות שנובעות מעצם תשלום הודעות הקנס שקיבל מהמשטרה בגין ביצוע עבירות תעבורה </w:t>
      </w:r>
      <w:r>
        <w:rPr>
          <w:rFonts w:ascii="David" w:hAnsi="David"/>
          <w:rtl w:val="true"/>
        </w:rPr>
        <w:t xml:space="preserve">שונות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המאשימה טענה שמדובר בנתון לחומרה </w:t>
      </w:r>
      <w:r>
        <w:rPr>
          <w:rFonts w:ascii="David" w:hAnsi="David"/>
          <w:rtl w:val="true"/>
        </w:rPr>
        <w:t xml:space="preserve">שמשתלב עם נתון נוסף לחומרה והוא </w:t>
      </w:r>
      <w:r>
        <w:rPr>
          <w:rFonts w:ascii="David" w:hAnsi="David"/>
          <w:rtl w:val="true"/>
        </w:rPr>
        <w:t>כמות הנוסעים שהיו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 המאשמה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הנתונים לחומרה שצוינו </w:t>
      </w:r>
      <w:r>
        <w:rPr>
          <w:rFonts w:ascii="David" w:hAnsi="David"/>
          <w:rtl w:val="true"/>
        </w:rPr>
        <w:t>מחייב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השתת מאסר שירוצה בדרך של עבודות שירות וזאת לתקופה של שמונה 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 כוח הנאשם הפנה לאמור בתסקיר שרות המבחן והדגיש את העובדה שמדובר באדם נורמטיבי שנעדר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שלאור מכלול נסיבותיו האישיות של הנאשם יש להסתפק במאסר על תנאי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לא מדובר בהסעה 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בנסיבות מחמירות</w:t>
      </w: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הורשע ב</w:t>
      </w:r>
      <w:r>
        <w:rPr>
          <w:rFonts w:ascii="David" w:hAnsi="David"/>
          <w:rtl w:val="true"/>
        </w:rPr>
        <w:t xml:space="preserve">עבירה של הסעת תושב זר השוהה בישראל שלא כדין לפי </w:t>
      </w:r>
      <w:hyperlink r:id="rId1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הכניסה לישראל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ואשר מורה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המסיע ברכב תושב זר השוהה בישראל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דינו – מאסר שנתיים</w:t>
      </w:r>
      <w:r>
        <w:rPr>
          <w:rFonts w:ascii="David" w:hAnsi="David"/>
          <w:rtl w:val="true"/>
        </w:rPr>
        <w:t xml:space="preserve"> או הקנס הקבוע בסעיף </w:t>
      </w:r>
      <w:r>
        <w:rPr>
          <w:rFonts w:cs="David" w:ascii="David" w:hAnsi="David"/>
        </w:rPr>
        <w:t>61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" 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start="360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  <w:t xml:space="preserve"> </w:t>
      </w:r>
      <w:r>
        <w:rPr>
          <w:rFonts w:ascii="David" w:hAnsi="David"/>
          <w:rtl w:val="true"/>
        </w:rPr>
        <w:t xml:space="preserve">יש לציין </w:t>
      </w:r>
      <w:hyperlink r:id="rId13">
        <w:r>
          <w:rPr>
            <w:rStyle w:val="Hyperlink"/>
            <w:rFonts w:ascii="David" w:hAnsi="David"/>
            <w:rtl w:val="true"/>
          </w:rPr>
          <w:t xml:space="preserve">שסעיף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כפי נוסחו 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לא יוחס לנאשם בכתב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מורה כדלקמן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1440" w:start="50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</w:rPr>
        <w:t>12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)</w:t>
        <w:tab/>
        <w:t>(</w:t>
      </w:r>
      <w:r>
        <w:rPr>
          <w:rFonts w:cs="David" w:ascii="David" w:hAnsi="David"/>
        </w:rPr>
        <w:t>1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נעברה עבירה לפי פסקה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באחת מהנסיבות המפורטות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דינו של עובר העבירה</w:t>
      </w:r>
      <w:r>
        <w:rPr>
          <w:rFonts w:cs="David" w:ascii="David" w:hAnsi="David"/>
          <w:u w:val="single"/>
          <w:rtl w:val="true"/>
        </w:rPr>
        <w:t xml:space="preserve">- </w:t>
      </w:r>
      <w:r>
        <w:rPr>
          <w:rFonts w:ascii="David" w:hAnsi="David"/>
          <w:u w:val="single"/>
          <w:rtl w:val="true"/>
        </w:rPr>
        <w:t>מאסר ארבע שנים</w:t>
      </w:r>
      <w:r>
        <w:rPr>
          <w:rFonts w:ascii="David" w:hAnsi="David"/>
          <w:rtl w:val="true"/>
        </w:rPr>
        <w:t xml:space="preserve"> או כפל קנס הקבוע בסעיף </w:t>
      </w:r>
      <w:r>
        <w:rPr>
          <w:rFonts w:cs="David" w:ascii="David" w:hAnsi="David"/>
        </w:rPr>
        <w:t>61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)(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eastAsia="David" w:cs="David" w:ascii="David" w:hAnsi="David"/>
          <w:rtl w:val="true"/>
        </w:rPr>
        <w:t xml:space="preserve">                                       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) ...</w:t>
      </w:r>
    </w:p>
    <w:p>
      <w:pPr>
        <w:pStyle w:val="Normal"/>
        <w:spacing w:lineRule="auto" w:line="360"/>
        <w:ind w:start="5040" w:end="0"/>
        <w:jc w:val="both"/>
        <w:rPr/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הוסעו ברכב </w:t>
      </w:r>
      <w:r>
        <w:rPr>
          <w:rFonts w:ascii="David" w:hAnsi="David"/>
          <w:u w:val="single"/>
          <w:rtl w:val="true"/>
        </w:rPr>
        <w:t>שלושה תושבים זרים</w:t>
      </w:r>
      <w:r>
        <w:rPr>
          <w:rFonts w:ascii="David" w:hAnsi="David"/>
          <w:rtl w:val="true"/>
        </w:rPr>
        <w:t xml:space="preserve"> או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השוהים בישראל שלא כדין שאינם בני משפחתו של המסיע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לעניין זה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בן משפחה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של המסיע – הורהו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ילדו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אחיו או אחותו</w:t>
      </w:r>
      <w:r>
        <w:rPr>
          <w:rFonts w:cs="David" w:ascii="David" w:hAnsi="David"/>
          <w:rtl w:val="true"/>
        </w:rPr>
        <w:t>."</w:t>
      </w:r>
    </w:p>
    <w:p>
      <w:pPr>
        <w:pStyle w:val="Normal"/>
        <w:spacing w:lineRule="auto" w:line="360"/>
        <w:ind w:start="50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50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ההדגשות שלי –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')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לפי עובדות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הסיע </w:t>
      </w:r>
      <w:r>
        <w:rPr>
          <w:rFonts w:ascii="David" w:hAnsi="David"/>
          <w:u w:val="single"/>
          <w:rtl w:val="true"/>
        </w:rPr>
        <w:t>ארבעה תושבי אזור</w:t>
      </w:r>
      <w:r>
        <w:rPr>
          <w:rFonts w:ascii="David" w:hAnsi="David"/>
          <w:rtl w:val="true"/>
        </w:rPr>
        <w:t xml:space="preserve"> שאינם מבני משפחתו ולכן </w:t>
      </w:r>
      <w:r>
        <w:rPr>
          <w:rFonts w:ascii="David" w:hAnsi="David"/>
          <w:u w:val="single"/>
          <w:rtl w:val="true"/>
        </w:rPr>
        <w:t>לכאורה</w:t>
      </w:r>
      <w:r>
        <w:rPr>
          <w:rFonts w:ascii="David" w:hAnsi="David"/>
          <w:rtl w:val="true"/>
        </w:rPr>
        <w:t xml:space="preserve"> ביצע עבירה של הסעה בנסיבות מחמירות עם עונש מקסימלי של ארבע 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הסעה רגילה לפי </w:t>
      </w:r>
      <w:hyperlink r:id="rId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עם עונש מקסימלי של שנתיים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שהעבירה מושא כתב האישום בוצעה ביום </w:t>
      </w:r>
      <w:r>
        <w:rPr>
          <w:rFonts w:cs="David" w:ascii="David" w:hAnsi="David"/>
        </w:rPr>
        <w:t>19.8.17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וזאת כאשר הנוסח של </w:t>
      </w:r>
      <w:hyperlink r:id="rId1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כך שהיה רשום בו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u w:val="single"/>
          <w:rtl w:val="true"/>
        </w:rPr>
        <w:t>שישה</w:t>
      </w:r>
      <w:r>
        <w:rPr>
          <w:rFonts w:ascii="David" w:hAnsi="David"/>
          <w:rtl w:val="true"/>
        </w:rPr>
        <w:t xml:space="preserve"> תושבים זרים או יותר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ולכן הוא אינו רלבנטי לענייננו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הסעיף האמור תוקן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08.03.18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כך שבמקום המילה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שישה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נקבע שתבוא המילה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שלושה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ראו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והוראות שעה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2697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 באדר 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8.3.2018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220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לתיקון האמור אין כמובן תחולה רטרואקטיבית על המקרה שבפניי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גם את הוראות </w:t>
      </w:r>
      <w:hyperlink r:id="rId2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ושעניינו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שינוי חיקוק לאחר עשיית העבירה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ברור שענייננו בעבירה של </w:t>
      </w:r>
      <w:r>
        <w:rPr>
          <w:rFonts w:ascii="David" w:hAnsi="David"/>
          <w:u w:val="single"/>
          <w:rtl w:val="true"/>
        </w:rPr>
        <w:t>הסעה רגילה</w:t>
      </w:r>
      <w:r>
        <w:rPr>
          <w:rFonts w:ascii="David" w:hAnsi="David"/>
          <w:rtl w:val="true"/>
        </w:rPr>
        <w:t xml:space="preserve"> לפי </w:t>
      </w:r>
      <w:hyperlink r:id="rId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עם עונש מקסימלי של שנתיים מאסר ולא בהסעה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 מחמירות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עם עונש מקסימלי של ארבע שנות מאסר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מדיניות הענישה בעבירות של הסעה הלנה והעסקה של תושב האזור נקבעה ב</w:t>
      </w:r>
      <w:r>
        <w:rPr>
          <w:rFonts w:cs="David" w:ascii="David" w:hAnsi="David"/>
          <w:rtl w:val="true"/>
        </w:rPr>
        <w:t xml:space="preserve">-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3674/04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סאלם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12.2.06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להלן תמצית הכללים שנקבעו באותה הלכה לגבי הענישה הראויה בעבירות מעין אלה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להלכה שנקבעה ב</w:t>
      </w:r>
      <w:r>
        <w:rPr>
          <w:rFonts w:cs="David" w:ascii="David" w:hAnsi="David"/>
          <w:rtl w:val="true"/>
        </w:rPr>
        <w:t>-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5198/01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טלעת חטיב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 פ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ד נו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769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שתי אונות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האונה האחת היא שעבירה לפי </w:t>
      </w:r>
      <w:hyperlink r:id="rId2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עבירה חמורה וכי העונש הראוי לה הוא עונש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האונה השניה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נסובה על החריג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היינו אותן 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יוצאות מגדר הרגיל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העשויות לשלול הטלתו של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שתי האונות כפופות לעיקרון היסוד בדיני העונשין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קרי כי ענישה בפלילים לעולם ענישה אינדיבידואלית היא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 xml:space="preserve">מדיניות הענישה הראויה בעבירות לפי </w:t>
      </w:r>
      <w:hyperlink r:id="rId2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ascii="David" w:hAnsi="David"/>
          <w:rtl w:val="true"/>
        </w:rPr>
        <w:t xml:space="preserve"> ל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נוטה לעבר הטלת עונש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שמדיניות זו תולה עצמה בנסיבותיו האישיות של כל מקרה ומקרה והעונש שיושת על עבריין חייב להלום את נסיבותיו של המקרה ושל העבריין הספציפי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מדיניות הענישה המחמירה עדיין תקפה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יחד 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גם לחשוב על מקרים מתאימים שבהם ניתן לשרת את האינטרס הציבורי בעונשים שאינם דווקא של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תמהיל של אמצעים אחרים כגון קנס כספי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התחייבות כספית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שלילת רישיון נהיגה ותפיסה וחילוט של רכב שבו בוצעה עבירת ההסעה שלא כדין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פסקאות </w:t>
      </w:r>
      <w:r>
        <w:rPr>
          <w:rFonts w:cs="David" w:ascii="David" w:hAnsi="David"/>
        </w:rPr>
        <w:t>13-11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spacing w:lineRule="auto" w:line="360"/>
        <w:ind w:start="141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97" w:start="1417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יש ליישם את ההלכה על פי נסיבותיו של כל מקרה ומקרה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לתת ביטוי לנסיבותיו האישיות של העבריין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גילו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 בריאותו ומצבו המשפחתי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משקל רב יש לתת לנסיבות ביצוע העבירה ולמניעיו של העבריין ובייחוד יש להתחשב בסיכון שיצר הנאשם לשלום הציבור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להלכת</w:t>
      </w:r>
      <w:r>
        <w:rPr>
          <w:rFonts w:ascii="David" w:hAnsi="David"/>
          <w:b/>
          <w:b/>
          <w:bCs/>
          <w:rtl w:val="true"/>
        </w:rPr>
        <w:t xml:space="preserve"> אבו סאלם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לא שינה דבר מהכללים שנקבעו בהלכת </w:t>
      </w:r>
      <w:r>
        <w:rPr>
          <w:rFonts w:ascii="David" w:hAnsi="David"/>
          <w:b/>
          <w:b/>
          <w:bCs/>
          <w:rtl w:val="true"/>
        </w:rPr>
        <w:t>אבו סאלם</w:t>
      </w:r>
      <w:r>
        <w:rPr>
          <w:rFonts w:ascii="David" w:hAnsi="David"/>
          <w:rtl w:val="true"/>
        </w:rPr>
        <w:t xml:space="preserve"> לעניין מדיניות הענישה הנוהגת בעבירה של הסעת תושב זר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אביא מספר דוגמאות לרמת הענישה מהפסיקה של בית המשפט העליון שניתנה לאחר תיקון </w:t>
      </w:r>
      <w:r>
        <w:rPr>
          <w:rFonts w:cs="David" w:ascii="David" w:hAnsi="David"/>
        </w:rPr>
        <w:t>113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הפסיקה שאביא להלן היא </w:t>
      </w:r>
      <w:r>
        <w:rPr>
          <w:rFonts w:ascii="David" w:hAnsi="David"/>
          <w:u w:val="single"/>
          <w:rtl w:val="true"/>
        </w:rPr>
        <w:t>פסיקה רלבנטית ומתאימה</w:t>
      </w:r>
      <w:r>
        <w:rPr>
          <w:rFonts w:ascii="David" w:hAnsi="David"/>
          <w:rtl w:val="true"/>
        </w:rPr>
        <w:t xml:space="preserve"> ומשקפת את מדיניות הענישה הנוהגת מאחר שהיא מתייחסת </w:t>
      </w:r>
      <w:r>
        <w:rPr>
          <w:rFonts w:ascii="David" w:hAnsi="David"/>
          <w:u w:val="single"/>
          <w:rtl w:val="true"/>
        </w:rPr>
        <w:t>לעבירה הרגילה</w:t>
      </w:r>
      <w:r>
        <w:rPr>
          <w:rFonts w:ascii="David" w:hAnsi="David"/>
          <w:rtl w:val="true"/>
        </w:rPr>
        <w:t xml:space="preserve"> של הסעת תושב אזור שלא כדין </w:t>
      </w:r>
      <w:r>
        <w:rPr>
          <w:rFonts w:ascii="David" w:hAnsi="David"/>
          <w:u w:val="single"/>
          <w:rtl w:val="true"/>
        </w:rPr>
        <w:t xml:space="preserve">ולא לעבירה של הסעה 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ascii="David" w:hAnsi="David"/>
          <w:u w:val="single"/>
          <w:rtl w:val="true"/>
        </w:rPr>
        <w:t>בנסיבות מחמירות</w:t>
      </w:r>
      <w:r>
        <w:rPr>
          <w:rFonts w:cs="David" w:ascii="David" w:hAnsi="David"/>
          <w:u w:val="single"/>
          <w:rtl w:val="true"/>
        </w:rPr>
        <w:t>"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2844/16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ביאלה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13.4.16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במקרה זה המבקש הסיע </w:t>
      </w:r>
      <w:r>
        <w:rPr>
          <w:rFonts w:ascii="David" w:hAnsi="David"/>
          <w:u w:val="single"/>
          <w:rtl w:val="true"/>
        </w:rPr>
        <w:t>שלושה</w:t>
      </w:r>
      <w:r>
        <w:rPr>
          <w:rFonts w:ascii="David" w:hAnsi="David"/>
          <w:rtl w:val="true"/>
        </w:rPr>
        <w:t xml:space="preserve"> תושבי אזור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היה 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לשבעה ילדים עם בעיות כלכליות קשות ובת עם מצב רפואי מורכב ואשתו עברה אירוע מוחי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למבקש היה רישום פלילי בעבירות שוחד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השלום השית עליו </w:t>
      </w:r>
      <w:r>
        <w:rPr>
          <w:rFonts w:cs="David" w:ascii="David" w:hAnsi="David"/>
          <w:u w:val="single"/>
        </w:rPr>
        <w:t>80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ימי מאסר שירוצו בדרך של עבודות שירות</w:t>
      </w:r>
      <w:r>
        <w:rPr>
          <w:rFonts w:ascii="David" w:hAnsi="David"/>
          <w:rtl w:val="true"/>
        </w:rPr>
        <w:t xml:space="preserve"> ומאסר על 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2572/16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סוויסה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6.4.16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במקרה זה הוגשו כנגד המבקש שני כתבי אישום נפרדים שעניינם הסעה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באישום הראשון היה מדובר בהסעה של </w:t>
      </w:r>
      <w:r>
        <w:rPr>
          <w:rFonts w:ascii="David" w:hAnsi="David"/>
          <w:u w:val="single"/>
          <w:rtl w:val="true"/>
        </w:rPr>
        <w:t>שלושה</w:t>
      </w:r>
      <w:r>
        <w:rPr>
          <w:rFonts w:ascii="David" w:hAnsi="David"/>
          <w:rtl w:val="true"/>
        </w:rPr>
        <w:t xml:space="preserve"> נוסעים ובאישום השני היה מדובר בהסעה של </w:t>
      </w:r>
      <w:r>
        <w:rPr>
          <w:rFonts w:ascii="David" w:hAnsi="David"/>
          <w:u w:val="single"/>
          <w:rtl w:val="true"/>
        </w:rPr>
        <w:t>ארבעה</w:t>
      </w:r>
      <w:r>
        <w:rPr>
          <w:rFonts w:ascii="David" w:hAnsi="David"/>
          <w:rtl w:val="true"/>
        </w:rPr>
        <w:t xml:space="preserve"> נוסעים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בשני כתבי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השלום השית עליו </w:t>
      </w:r>
      <w:r>
        <w:rPr>
          <w:rFonts w:cs="David" w:ascii="David" w:hAnsi="David"/>
          <w:u w:val="single"/>
        </w:rPr>
        <w:t>6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שירוצו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בפועל של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פסילה על תנאי וקנס בסך של </w:t>
      </w:r>
      <w:r>
        <w:rPr>
          <w:rFonts w:cs="David" w:ascii="David" w:hAnsi="David"/>
        </w:rPr>
        <w:t>2500</w:t>
      </w:r>
      <w:r>
        <w:rPr>
          <w:rFonts w:cs="David" w:ascii="David" w:hAnsi="David"/>
          <w:rtl w:val="true"/>
        </w:rPr>
        <w:t xml:space="preserve"> ₪. </w:t>
      </w:r>
      <w:r>
        <w:rPr>
          <w:rFonts w:ascii="David" w:hAnsi="David"/>
          <w:rtl w:val="true"/>
        </w:rPr>
        <w:t>בית המשפט השלום החליט שלא לחלט את רכבו של המבקש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323/17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יאסין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11.1.17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כנגד המבקש הוגש כתב אישום לבית המשפט השלום ואשר כלל שני אישומים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הסיע ברכבו </w:t>
      </w:r>
      <w:r>
        <w:rPr>
          <w:rFonts w:ascii="David" w:hAnsi="David"/>
          <w:u w:val="single"/>
          <w:rtl w:val="true"/>
        </w:rPr>
        <w:t>שני</w:t>
      </w:r>
      <w:r>
        <w:rPr>
          <w:rFonts w:ascii="David" w:hAnsi="David"/>
          <w:rtl w:val="true"/>
        </w:rPr>
        <w:t xml:space="preserve"> תושבי האזור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 האישום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הסיע ברכבו </w:t>
      </w:r>
      <w:r>
        <w:rPr>
          <w:rFonts w:ascii="David" w:hAnsi="David"/>
          <w:u w:val="single"/>
          <w:rtl w:val="true"/>
        </w:rPr>
        <w:t>שלושה</w:t>
      </w:r>
      <w:r>
        <w:rPr>
          <w:rFonts w:ascii="David" w:hAnsi="David"/>
          <w:rtl w:val="true"/>
        </w:rPr>
        <w:t xml:space="preserve"> תושבי האזור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המשיב היה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ניהל אורח חיים נורמטיבי ומצבו הכלכלי היה קשה וננקטו נגדו הליכי פשיטת רגל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השלום השית עליו </w:t>
      </w:r>
      <w:r>
        <w:rPr>
          <w:rFonts w:cs="David" w:ascii="David" w:hAnsi="David"/>
          <w:u w:val="single"/>
        </w:rPr>
        <w:t>8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פסילה בפועל של רישיון הנהיגה ופסילה על תנאי של רישיון הנהיגה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ערעורו לבית המשפט המחוזי נדחה וכן נדחתה בקשת רשות ערעור שהגיש לבית המשפט העליון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הסעה רגילה של תושב אזור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עשוי להתחיל ממאסר על תנאי ואין חובה להשתת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מאחורי סורג ובריח ובין בדרך של 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שבעסקינן </w:t>
      </w:r>
      <w:r>
        <w:rPr>
          <w:rFonts w:ascii="David" w:hAnsi="David"/>
          <w:rtl w:val="true"/>
        </w:rPr>
        <w:t>עדיין מדובר בהסעה של ארבעה נוסעים ולא בנוסע אחד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קובע כי מתחם העונש ההולם לעבירה שבוצעה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חודשיים מאסר שיכול וירוצו בעבודות שירות ועד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ופסילת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על תנאי ובין בפועל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התרשמתי שקיימות נסיבות חריגות שמצדיקות סטייה ממתחם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נסיבותיו האישיות של הנאשם יילקחו בחשבון בעת קביעת העונש המתאים בתוך מתחם העונש ההולם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שיקול שיקומי כלשהו שמצדיק סטייה לקולא מהמתחם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 xml:space="preserve">קביעת העונש המתאים בתוך מתחם העונש ההולם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בתוך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כל הנתונים שלהלן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 קודם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היותו </w:t>
      </w:r>
      <w:r>
        <w:rPr>
          <w:rFonts w:ascii="David" w:hAnsi="David"/>
          <w:rtl w:val="true"/>
        </w:rPr>
        <w:t xml:space="preserve">של הנאשם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 משפחה ועם דפוסי חשיבה והתנהגות נורמטיביים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ההשלכות של השתת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רציפות עבודתו ועקב כך גם על בני 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נתונים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מחייבים להציב את הנאשם בחלקו התחתון של מתחם העונש ההולם</w:t>
      </w:r>
      <w:r>
        <w:rPr>
          <w:rFonts w:ascii="David" w:hAnsi="David"/>
          <w:rtl w:val="true"/>
        </w:rPr>
        <w:t xml:space="preserve"> וזאת</w:t>
      </w:r>
      <w:r>
        <w:rPr>
          <w:rFonts w:ascii="David" w:hAnsi="David"/>
          <w:rtl w:val="true"/>
        </w:rPr>
        <w:t xml:space="preserve"> לגבי מכלול רכיבי הענישה שציינתי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הפנתה לריש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ם הפלילי תעבורתי של הנאשם כנתון לחומרה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התרשמתי שהרישום הפלילי התעבורתי הוא בעל משקל סגולי כה משמעותי שי</w:t>
      </w:r>
      <w:r>
        <w:rPr>
          <w:rFonts w:ascii="David" w:hAnsi="David"/>
          <w:rtl w:val="true"/>
        </w:rPr>
        <w:t xml:space="preserve">צדיק השתת </w:t>
      </w:r>
      <w:r>
        <w:rPr>
          <w:rFonts w:ascii="David" w:hAnsi="David"/>
          <w:rtl w:val="true"/>
        </w:rPr>
        <w:t>מאסר שיר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צה בעבודות שירות לתקופה כה משמעותית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כפי שטענה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העבירה של הסעה של תושב אזור שלא כדין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בדומה ל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rtl w:val="true"/>
        </w:rPr>
        <w:t>הלנה ו</w:t>
      </w:r>
      <w:r>
        <w:rPr>
          <w:rFonts w:ascii="David" w:hAnsi="David"/>
          <w:rtl w:val="true"/>
        </w:rPr>
        <w:t xml:space="preserve">לעבירה של </w:t>
      </w:r>
      <w:r>
        <w:rPr>
          <w:rFonts w:ascii="David" w:hAnsi="David"/>
          <w:rtl w:val="true"/>
        </w:rPr>
        <w:t>העסקה</w:t>
      </w:r>
      <w:r>
        <w:rPr>
          <w:rFonts w:ascii="David" w:hAnsi="David"/>
          <w:rtl w:val="true"/>
        </w:rPr>
        <w:t xml:space="preserve"> של תושב זר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היא לא עבירה שלקוחה מעולם עבירות התעבורה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מדובר ברישום פלילי </w:t>
      </w:r>
      <w:r>
        <w:rPr>
          <w:rFonts w:ascii="David" w:hAnsi="David"/>
          <w:u w:val="single"/>
          <w:rtl w:val="true"/>
        </w:rPr>
        <w:t>רלבנטי</w:t>
      </w:r>
      <w:r>
        <w:rPr>
          <w:rFonts w:ascii="David" w:hAnsi="David"/>
          <w:rtl w:val="true"/>
        </w:rPr>
        <w:t xml:space="preserve"> שיש בכוחו להצדיק החמרה כה משמעותית בענישה כפי שהציעה המאשימה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בטרם סיום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לייחד מספר מלים </w:t>
      </w:r>
      <w:r>
        <w:rPr>
          <w:rFonts w:ascii="David" w:hAnsi="David"/>
          <w:u w:val="single"/>
          <w:rtl w:val="true"/>
        </w:rPr>
        <w:t>לעונש המקסימלי</w:t>
      </w:r>
      <w:r>
        <w:rPr>
          <w:rFonts w:ascii="David" w:hAnsi="David"/>
          <w:rtl w:val="true"/>
        </w:rPr>
        <w:t xml:space="preserve"> של שנתיים שנקבע על ידי המחוקק לעבירה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הרגילה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של הסעה שלא כדין של תושב האזור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להבדיל מהעבירה של הסעה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בנסיבות מחמירות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שלגביה נקבע </w:t>
      </w:r>
      <w:r>
        <w:rPr>
          <w:rFonts w:ascii="David" w:hAnsi="David"/>
          <w:rtl w:val="true"/>
        </w:rPr>
        <w:t>עונש מקסימלי של ארבע 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העבירה של הסעה רגילה היא </w:t>
      </w:r>
      <w:r>
        <w:rPr>
          <w:rFonts w:ascii="David" w:hAnsi="David"/>
          <w:u w:val="single"/>
          <w:rtl w:val="true"/>
        </w:rPr>
        <w:t>עבירה מסוג עוון</w:t>
      </w:r>
      <w:r>
        <w:rPr>
          <w:rFonts w:ascii="David" w:hAnsi="David"/>
          <w:rtl w:val="true"/>
        </w:rPr>
        <w:t xml:space="preserve"> ובעוד שהעבירה של הסעה בנסיבות מחמירות </w:t>
      </w:r>
      <w:r>
        <w:rPr>
          <w:rFonts w:ascii="David" w:hAnsi="David"/>
          <w:u w:val="single"/>
          <w:rtl w:val="true"/>
        </w:rPr>
        <w:t>היא עבירה מסוג פשע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עסקינן בעבירה מסוג עוון ולא בעבירה מסוג 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המקסימלי אמור לתת אינדיקציה ברורה של מידתיות לבית המשפט כיצד לקבוע את מתחם העונש ההולם ו</w:t>
      </w:r>
      <w:r>
        <w:rPr>
          <w:rFonts w:ascii="David" w:hAnsi="David"/>
          <w:rtl w:val="true"/>
        </w:rPr>
        <w:t xml:space="preserve">מה יהיה </w:t>
      </w:r>
      <w:r>
        <w:rPr>
          <w:rFonts w:ascii="David" w:hAnsi="David"/>
          <w:rtl w:val="true"/>
        </w:rPr>
        <w:t>העונש המתאים שייקבע בתוכו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ההצעה של המאשימה להשתת מאסר בפועל שירוצה בדרך של עבודות שירות </w:t>
      </w:r>
      <w:r>
        <w:rPr>
          <w:rFonts w:ascii="David" w:hAnsi="David"/>
          <w:rtl w:val="true"/>
        </w:rPr>
        <w:t xml:space="preserve">לתקופה של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rtl w:val="true"/>
        </w:rPr>
        <w:t>היא מתאימה לעבירה של הסעה שמתבצעת בנסיבות מחמירות עם עונש מקסימלי של</w:t>
      </w:r>
      <w:r>
        <w:rPr>
          <w:rFonts w:ascii="David" w:hAnsi="David"/>
          <w:rtl w:val="true"/>
        </w:rPr>
        <w:t xml:space="preserve"> ארבע</w:t>
      </w:r>
      <w:r>
        <w:rPr>
          <w:rFonts w:ascii="David" w:hAnsi="David"/>
          <w:rtl w:val="true"/>
        </w:rPr>
        <w:t xml:space="preserve"> 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לעבירה הרגילה עם עונש מקסימלי של שנתיים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העונש הסופי שיושת על הנאשם צריך שיהיה ביחס סביר ל</w:t>
      </w:r>
      <w:r>
        <w:rPr>
          <w:rFonts w:ascii="David" w:hAnsi="David"/>
          <w:rtl w:val="true"/>
        </w:rPr>
        <w:t>עונש המקסימלי וביחס סביר ל</w:t>
      </w:r>
      <w:r>
        <w:rPr>
          <w:rFonts w:ascii="David" w:hAnsi="David"/>
          <w:rtl w:val="true"/>
        </w:rPr>
        <w:t>נסיבותיו האישיות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אם נשית על הנאשם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כפי שהציעה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ולכך יש להוסיף כמובן מאסר על תנאי של </w:t>
      </w:r>
      <w:r>
        <w:rPr>
          <w:rFonts w:ascii="David" w:hAnsi="David"/>
          <w:rtl w:val="true"/>
        </w:rPr>
        <w:t xml:space="preserve">מספר חודשים </w:t>
      </w:r>
      <w:r>
        <w:rPr>
          <w:rFonts w:ascii="David" w:hAnsi="David"/>
          <w:rtl w:val="true"/>
        </w:rPr>
        <w:t>ועוד קנס כספי שאם לא ישולם יהיה על הנאשם לרצות תקופת מאסר נוספת שעליה יורה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נמצא ש</w:t>
      </w:r>
      <w:r>
        <w:rPr>
          <w:rFonts w:ascii="David" w:hAnsi="David"/>
          <w:rtl w:val="true"/>
        </w:rPr>
        <w:t>הגענו ל</w:t>
      </w:r>
      <w:r>
        <w:rPr>
          <w:rFonts w:ascii="David" w:hAnsi="David"/>
          <w:rtl w:val="true"/>
        </w:rPr>
        <w:t>מחצית העונש המקסימלי שקבוע לעבירה שבה הורשע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קביעת עונש של </w:t>
      </w:r>
      <w:r>
        <w:rPr>
          <w:rFonts w:ascii="David" w:hAnsi="David"/>
          <w:rtl w:val="true"/>
        </w:rPr>
        <w:t xml:space="preserve">מחצית מהעונש המקסימלי </w:t>
      </w:r>
      <w:r>
        <w:rPr>
          <w:rFonts w:ascii="David" w:hAnsi="David"/>
          <w:rtl w:val="true"/>
        </w:rPr>
        <w:t xml:space="preserve">שנקבע על ידי המחוקק </w:t>
      </w:r>
      <w:r>
        <w:rPr>
          <w:rFonts w:ascii="David" w:hAnsi="David"/>
          <w:rtl w:val="true"/>
        </w:rPr>
        <w:t xml:space="preserve">לעבירה </w:t>
      </w:r>
      <w:r>
        <w:rPr>
          <w:rFonts w:ascii="David" w:hAnsi="David"/>
          <w:rtl w:val="true"/>
        </w:rPr>
        <w:t xml:space="preserve">וזאת </w:t>
      </w:r>
      <w:r>
        <w:rPr>
          <w:rFonts w:ascii="David" w:hAnsi="David"/>
          <w:rtl w:val="true"/>
        </w:rPr>
        <w:t>כאשר מדובר ב</w:t>
      </w:r>
      <w:r>
        <w:rPr>
          <w:rFonts w:ascii="David" w:hAnsi="David"/>
          <w:rtl w:val="true"/>
        </w:rPr>
        <w:t>עבירה ראשונה ל</w:t>
      </w:r>
      <w:r>
        <w:rPr>
          <w:rFonts w:ascii="David" w:hAnsi="David"/>
          <w:rtl w:val="true"/>
        </w:rPr>
        <w:t xml:space="preserve">נאשם נעדר עבר פלילי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עם דפוסי התנהגות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היא בעיני ענישה בלתי פרופורציונלית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חודשיים מאסר בפועל שירוצו בדרך של עבודות שירות 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יבוצעו בימים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בשעות ובמקום שעליהם הורה הממונה על עבודות שירות בחוות הדעת ש</w:t>
      </w:r>
      <w:r>
        <w:rPr>
          <w:rFonts w:ascii="David" w:hAnsi="David"/>
          <w:rtl w:val="true"/>
        </w:rPr>
        <w:t>הוגשה מטעמו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לא יבצע עבירה לפי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חודשיים פסילה על תנאי של רישיון הנהיגה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מהיום לא יבצע עבירה לפי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2,000</w:t>
      </w:r>
      <w:r>
        <w:rPr>
          <w:rFonts w:cs="David" w:ascii="David" w:hAnsi="David"/>
          <w:rtl w:val="true"/>
        </w:rPr>
        <w:t xml:space="preserve"> ₪,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והיתרה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 אזי יעמוד מלוא סכום הקנס לפירעון מידי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לבית המשפט המחוזי במחוז מרכז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bookmarkStart w:id="10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 ניסן 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אפריל </w:t>
      </w:r>
      <w:r>
        <w:rPr>
          <w:rFonts w:cs="David" w:ascii="David" w:hAnsi="David"/>
        </w:rPr>
        <w:t>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במעמד הצדדים</w:t>
      </w:r>
      <w:r>
        <w:rPr>
          <w:rFonts w:cs="David" w:ascii="David" w:hAnsi="David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</w:t>
      </w:r>
      <w:r>
        <w:rPr>
          <w:rFonts w:cs="David" w:ascii="David" w:hAnsi="David"/>
          <w:b/>
          <w:bCs/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47493-03-18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a" TargetMode="External"/><Relationship Id="rId4" Type="http://schemas.openxmlformats.org/officeDocument/2006/relationships/hyperlink" Target="http://www.nevo.co.il/law/90721/12a.c.1" TargetMode="External"/><Relationship Id="rId5" Type="http://schemas.openxmlformats.org/officeDocument/2006/relationships/hyperlink" Target="http://www.nevo.co.il/law/90721/12a.c.1a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5" TargetMode="External"/><Relationship Id="rId8" Type="http://schemas.openxmlformats.org/officeDocument/2006/relationships/hyperlink" Target="http://www.nevo.co.il/law/90721/12a.c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/12a.c.1" TargetMode="External"/><Relationship Id="rId11" Type="http://schemas.openxmlformats.org/officeDocument/2006/relationships/hyperlink" Target="http://www.nevo.co.il/law/9072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90721/12a.c.1a.b" TargetMode="External"/><Relationship Id="rId14" Type="http://schemas.openxmlformats.org/officeDocument/2006/relationships/hyperlink" Target="http://www.nevo.co.il/law/9072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90721/12a.c.1a.b" TargetMode="External"/><Relationship Id="rId17" Type="http://schemas.openxmlformats.org/officeDocument/2006/relationships/hyperlink" Target="http://www.nevo.co.il/law/90721/12a.c.1" TargetMode="External"/><Relationship Id="rId18" Type="http://schemas.openxmlformats.org/officeDocument/2006/relationships/hyperlink" Target="http://www.nevo.co.il/law/90721/12a.c.1a.b" TargetMode="External"/><Relationship Id="rId19" Type="http://schemas.openxmlformats.org/officeDocument/2006/relationships/hyperlink" Target="http://www.nevo.co.il/law/90721" TargetMode="External"/><Relationship Id="rId20" Type="http://schemas.openxmlformats.org/officeDocument/2006/relationships/hyperlink" Target="http://www.nevo.co.il/law/70301/5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90721/12a.c.1" TargetMode="External"/><Relationship Id="rId23" Type="http://schemas.openxmlformats.org/officeDocument/2006/relationships/hyperlink" Target="http://www.nevo.co.il/law/90721" TargetMode="External"/><Relationship Id="rId24" Type="http://schemas.openxmlformats.org/officeDocument/2006/relationships/hyperlink" Target="http://www.nevo.co.il/case/5908341" TargetMode="External"/><Relationship Id="rId25" Type="http://schemas.openxmlformats.org/officeDocument/2006/relationships/hyperlink" Target="http://www.nevo.co.il/case/5999544" TargetMode="External"/><Relationship Id="rId26" Type="http://schemas.openxmlformats.org/officeDocument/2006/relationships/hyperlink" Target="http://www.nevo.co.il/law/90721/12a" TargetMode="External"/><Relationship Id="rId27" Type="http://schemas.openxmlformats.org/officeDocument/2006/relationships/hyperlink" Target="http://www.nevo.co.il/law/90721" TargetMode="External"/><Relationship Id="rId28" Type="http://schemas.openxmlformats.org/officeDocument/2006/relationships/hyperlink" Target="http://www.nevo.co.il/law/90721/12a" TargetMode="External"/><Relationship Id="rId29" Type="http://schemas.openxmlformats.org/officeDocument/2006/relationships/hyperlink" Target="http://www.nevo.co.il/law/9072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1472454" TargetMode="External"/><Relationship Id="rId33" Type="http://schemas.openxmlformats.org/officeDocument/2006/relationships/hyperlink" Target="http://www.nevo.co.il/case/21472574" TargetMode="External"/><Relationship Id="rId34" Type="http://schemas.openxmlformats.org/officeDocument/2006/relationships/hyperlink" Target="http://www.nevo.co.il/case/22116537" TargetMode="External"/><Relationship Id="rId35" Type="http://schemas.openxmlformats.org/officeDocument/2006/relationships/hyperlink" Target="http://www.nevo.co.il/law/90721" TargetMode="External"/><Relationship Id="rId36" Type="http://schemas.openxmlformats.org/officeDocument/2006/relationships/hyperlink" Target="http://www.nevo.co.il/law/9072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2023-03-20T11:29:00Z</dcterms:created>
  <dc:creator> </dc:creator>
  <dc:description/>
  <cp:keywords/>
  <dc:language>en-IL</dc:language>
  <cp:lastModifiedBy>h1</cp:lastModifiedBy>
  <dcterms:modified xsi:type="dcterms:W3CDTF">2023-03-20T11:29:00Z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עאדל ג'אברין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5908341;5999544;21472454;21472574;22116537</vt:lpwstr>
  </property>
  <property fmtid="{D5CDD505-2E9C-101B-9397-08002B2CF9AE}" pid="9" name="CITY">
    <vt:lpwstr>רמ'</vt:lpwstr>
  </property>
  <property fmtid="{D5CDD505-2E9C-101B-9397-08002B2CF9AE}" pid="10" name="DATE">
    <vt:lpwstr>20220413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90721/012a.c.1:4;012a.c.1a.b:3;012a:2</vt:lpwstr>
  </property>
  <property fmtid="{D5CDD505-2E9C-101B-9397-08002B2CF9AE}" pid="15" name="LAWLISTTMP2">
    <vt:lpwstr>70301/005</vt:lpwstr>
  </property>
  <property fmtid="{D5CDD505-2E9C-101B-9397-08002B2CF9AE}" pid="16" name="LAWYER">
    <vt:lpwstr>נועה חסיד;ראיס אבו סייף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47493</vt:lpwstr>
  </property>
  <property fmtid="{D5CDD505-2E9C-101B-9397-08002B2CF9AE}" pid="23" name="NEWPARTB">
    <vt:lpwstr>03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380020220413</vt:lpwstr>
  </property>
  <property fmtid="{D5CDD505-2E9C-101B-9397-08002B2CF9AE}" pid="35" name="TYPE_N_DATE">
    <vt:lpwstr>38020220413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