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47586-11-16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ניסנוב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pacing w:lineRule="auto" w:line="360" w:before="0" w:after="120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spacing w:lineRule="auto" w:line="360" w:before="0" w:after="120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רמיל ניסנוב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spacing w:lineRule="auto" w:line="360" w:before="0" w:after="120"/>
              <w:ind w:end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</w:tr>
    </w:tbl>
    <w:p>
      <w:pPr>
        <w:pStyle w:val="Normal"/>
        <w:spacing w:lineRule="auto" w:line="360" w:before="0" w:after="12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דרי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')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spacing w:lineRule="auto" w:line="360" w:before="0" w:after="120"/>
              <w:ind w:end="0"/>
              <w:jc w:val="center"/>
              <w:rPr>
                <w:rFonts w:ascii="Arial" w:hAnsi="Arial" w:cs="Arial"/>
                <w:b/>
                <w:bCs/>
                <w:sz w:val="36"/>
                <w:szCs w:val="36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>גזר דין</w:t>
            </w:r>
            <w:bookmarkEnd w:id="3"/>
            <w:r>
              <w:rPr>
                <w:rFonts w:ascii="Arial" w:hAnsi="Arial" w:cs="Arial"/>
                <w:b/>
                <w:b/>
                <w:bCs/>
                <w:sz w:val="36"/>
                <w:sz w:val="36"/>
                <w:szCs w:val="36"/>
                <w:rtl w:val="true"/>
              </w:rPr>
              <w:t xml:space="preserve"> בעניינו של נאשם </w:t>
            </w:r>
            <w:r>
              <w:rPr>
                <w:rFonts w:cs="Arial" w:ascii="Arial" w:hAnsi="Arial"/>
                <w:b/>
                <w:bCs/>
                <w:sz w:val="36"/>
                <w:szCs w:val="36"/>
              </w:rPr>
              <w:t>1</w:t>
            </w:r>
          </w:p>
        </w:tc>
      </w:tr>
    </w:tbl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רקע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4" w:name="ABSTRACT_START"/>
      <w:bookmarkEnd w:id="4"/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להודאתו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נשיאת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נשק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ותחמושת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שלא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כדין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144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ב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וסיפא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9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>").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1440"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קשירת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פשע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499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)(</w:t>
        </w:r>
        <w:r>
          <w:rPr>
            <w:rStyle w:val="Hyperlink"/>
            <w:rFonts w:cs="David" w:ascii="David" w:hAnsi="David"/>
            <w:color w:val="0000FF"/>
            <w:u w:val="single"/>
          </w:rPr>
          <w:t>1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5" w:name="ABSTRACT_END"/>
      <w:bookmarkEnd w:id="5"/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18.10.16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1-3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בקליבר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22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האקדחים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ימסרו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37,000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שזהותם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ידועה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יספקו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חלוקת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יספקו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579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אקדחים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לסיכום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18.10.16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התשלום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הראשון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שיעבירם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וסיכמו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יתרת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הסכום</w:t>
      </w:r>
      <w:r>
        <w:rPr>
          <w:rFonts w:cs="David" w:ascii="David" w:hAnsi="David"/>
          <w:color w:val="000000"/>
          <w:rtl w:val="true"/>
        </w:rPr>
        <w:t xml:space="preserve">") </w:t>
      </w:r>
      <w:r>
        <w:rPr>
          <w:rFonts w:ascii="David" w:hAnsi="David"/>
          <w:color w:val="000000"/>
          <w:rtl w:val="true"/>
        </w:rPr>
        <w:t>יעבירו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מוכנים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37,000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מטעמו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והנחה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לספק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התאריכים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25.10.16-7.11.16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מסרו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נאשמים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2-3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יתרת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הסכום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לנאשם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וקיבלו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תמורתו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מהנאשם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</w:rPr>
        <w:t>579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האקדחים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הסליקו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7.11.16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כשבתא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מאופסנים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579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ובעקבותיו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נהג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רכביהם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ניגשו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הוציא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מזוודה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המכילה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170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באותה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שוטרים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למקום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מרדף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הוסכם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יישלח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הטיעונים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תטען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תנאי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שיובהר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בעניינם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הצדדים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טיעון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במשותף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לעונשים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מוסכמים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ועונשם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תסקיר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שירות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המבחן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לימוד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ונשר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גיוסו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בהמשך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מהצבא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ריצה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צבאי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ושוחרר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התאמה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בעבודות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מזדמנות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יציבות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תעסוקתית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בשנים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האחרונות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כקבלן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האלומיניום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שיתף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2007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בתשלומים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פשיטת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רכב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מחשש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בעתיד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בפתיחת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חשבון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הלוואת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משכנתא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רגשית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הרשעות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קודמות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הסתבכות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פורמלי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מחומרתן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קורבניות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היכרות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שטחית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נקלע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כספיים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ופיתה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להרוויח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סכום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בתמורה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לעזרתו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הרקע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לביצוע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כנובע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ורצונו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להרוויח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כסף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</w:t>
      </w:r>
      <w:r>
        <w:rPr>
          <w:rFonts w:cs="David" w:ascii="David" w:hAnsi="David"/>
          <w:color w:val="000000"/>
          <w:rtl w:val="true"/>
        </w:rPr>
        <w:t xml:space="preserve">". </w:t>
      </w:r>
      <w:r>
        <w:rPr>
          <w:rFonts w:ascii="David" w:hAnsi="David"/>
          <w:color w:val="000000"/>
          <w:rtl w:val="true"/>
        </w:rPr>
        <w:t>לדבריו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בהיעדר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ההשלכות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בולט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ממשי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וליטול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מתפקד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עבודה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בקבוצות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וסדנאות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קבוצת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שליטה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בכעסים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באגף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החינוך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בדיקות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ניקיון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פסיכו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אקטיביים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הטיפולי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מתקשה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ומביע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רצון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להשתלב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בטיפול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קבלת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משני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הכספיים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הגלוי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שניהל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פורמלית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שותפיו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בחווייתו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נוצל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גורמי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קווים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מניפולטיביים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מאפייני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אישיותו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ליטול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והחובות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מגבירים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התנהגות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עוברת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בהמלצה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טיפולית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להערכת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מוחשית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תחבר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למחירים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ראיות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לעונש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נ</w:t>
      </w:r>
      <w:r>
        <w:rPr>
          <w:rFonts w:cs="David" w:ascii="David" w:hAnsi="David"/>
          <w:color w:val="000000"/>
          <w:rtl w:val="true"/>
        </w:rPr>
        <w:t>/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- </w:t>
      </w:r>
      <w:r>
        <w:rPr>
          <w:rFonts w:ascii="David" w:hAnsi="David"/>
          <w:color w:val="000000"/>
          <w:rtl w:val="true"/>
        </w:rPr>
        <w:t>מסמך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קלינאית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תקשורת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הנוגעים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והקושי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שממנו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מחייו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רעייתו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נשואה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נורמטיבית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בגלל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הבעיות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תיארה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לגדל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הילדים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היעדרותו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עקב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לדבריה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סייעו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לפרוע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החובות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טיעוני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טל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באשמה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בתחילת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שמיעת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הראיות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בוצעו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תמורת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ועניינו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בהסכמה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שיוצרו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במחסן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בצורת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גליל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להכניס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לתוכו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תרמיל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אינץ</w:t>
      </w:r>
      <w:r>
        <w:rPr>
          <w:rFonts w:cs="David" w:ascii="David" w:hAnsi="David"/>
          <w:color w:val="000000"/>
          <w:rtl w:val="true"/>
        </w:rPr>
        <w:t xml:space="preserve">'.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להסליק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בקלות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לשאת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שיבחינו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ולבצע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ירי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הנחיית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פרקליט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בנשיאת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וחצי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מובן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שבהחזקה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מכפלה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וזוהי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נגזר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לאחר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שהורשע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נוספים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באישומים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והשלישי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המניע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למעשים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לגבי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היחסי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שלושתם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חלק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מרכזי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שסיפק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להבדיל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שמבקש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ובסופו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לחובתו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בתסקיר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מפחית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המעשים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קורבנית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ומציג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פאסדה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חיובית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75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המתקרב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מותנה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וקנס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מיכאל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כרמל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לראשונה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תוקן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מוקדם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ההליך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579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והובילו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להרוויח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עיקר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הרווח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חלקו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פחות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מחלקם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שאינן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מיוחסות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בשווי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מיליוני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Times New Roman" w:hAnsi="Times New Roman"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שימשו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כמעבדות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האזנות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נלוו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גניבת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חשמל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בהיקף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300,000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הייתה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מוטלת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צריכה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מנוכה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מעונשו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בתיק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צריך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לשלוש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שנתפסו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והתכוונו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להפיץ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אותם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הפיץ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התכנית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חמורה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הנסיבות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האישיות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ובבני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משפחתו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ביצע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כלכלית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המורחבת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התגייסה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ופתרה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המצוקה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הכלכלית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הסיכון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בושה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חריג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בניגוד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2-3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ראשון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לפיכך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עתרו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להסתפק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בתקופת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מעצרו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אמר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שמח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שהנשקים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נתפסו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נזק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עצור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תקופה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ארוכה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מעשיו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ולוקח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מלאה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התייחס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לקשיים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ילדיו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גרם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למשפחתו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צער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הבטיח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יחזור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lang w:eastAsia="he-IL"/>
        </w:rPr>
      </w:pPr>
      <w:r>
        <w:rPr>
          <w:bCs/>
          <w:rtl w:val="true"/>
          <w:lang w:eastAsia="he-IL"/>
        </w:rPr>
        <w:t>דיון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 xml:space="preserve">- </w:t>
      </w:r>
      <w:r>
        <w:rPr>
          <w:bCs/>
          <w:rtl w:val="true"/>
          <w:lang w:eastAsia="he-IL"/>
        </w:rPr>
        <w:t>קביעת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מתחם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העונש</w:t>
      </w:r>
      <w:r>
        <w:rPr>
          <w:rFonts w:cs="Times New Roman"/>
          <w:bCs/>
          <w:rtl w:val="true"/>
          <w:lang w:eastAsia="he-IL"/>
        </w:rPr>
        <w:t xml:space="preserve"> </w:t>
      </w:r>
      <w:r>
        <w:rPr>
          <w:bCs/>
          <w:rtl w:val="true"/>
          <w:lang w:eastAsia="he-IL"/>
        </w:rPr>
        <w:t>ההולם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האישום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מתאר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אירוע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ומכאן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לקבוע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הולם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>,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הערכים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נפגעו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בטחון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מידת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הפגיעה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בערך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המוגן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מובילה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למסקנה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הפגיעה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המוגן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למספר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– </w:t>
      </w:r>
      <w:r>
        <w:rPr>
          <w:rFonts w:cs="David" w:ascii="David" w:hAnsi="David"/>
          <w:b/>
          <w:bCs/>
          <w:color w:val="000000"/>
        </w:rPr>
        <w:t>579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אקדחים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מאולתרים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סוג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אמנם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מדובר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מאולתרים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קוטר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0.22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אינץ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בלבד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נמוך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ביחס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תקניים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צורתם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וקוטנם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להסתירם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לשימוש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שקבע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3804/10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נעאמנה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26.12.10</w:t>
      </w:r>
      <w:r>
        <w:rPr>
          <w:rFonts w:cs="David" w:ascii="David" w:hAnsi="David"/>
          <w:color w:val="000000"/>
          <w:rtl w:val="true"/>
        </w:rPr>
        <w:t>) "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הסוואתם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המבקשים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להערים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ולהקשות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האכיפה</w:t>
      </w:r>
      <w:r>
        <w:rPr>
          <w:rFonts w:cs="David" w:ascii="David" w:hAnsi="David"/>
          <w:color w:val="000000"/>
          <w:rtl w:val="true"/>
        </w:rPr>
        <w:t xml:space="preserve">".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חומרתן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עמד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העליון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1323/13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חסן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ישראל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5.6.13</w:t>
      </w:r>
      <w:r>
        <w:rPr>
          <w:rFonts w:cs="David" w:ascii="David" w:hAnsi="David"/>
          <w:color w:val="000000"/>
          <w:rtl w:val="true"/>
        </w:rPr>
        <w:t xml:space="preserve">): </w:t>
      </w:r>
    </w:p>
    <w:p>
      <w:pPr>
        <w:pStyle w:val="Normal"/>
        <w:spacing w:lineRule="auto" w:line="360" w:before="0" w:after="120"/>
        <w:ind w:start="964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נוכח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היקפן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המבוצעות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בנשק</w:t>
      </w:r>
      <w:r>
        <w:rPr>
          <w:rFonts w:cs="David" w:ascii="David" w:hAnsi="David"/>
          <w:color w:val="000000"/>
          <w:rtl w:val="true"/>
        </w:rPr>
        <w:t xml:space="preserve">... </w:t>
      </w:r>
      <w:r>
        <w:rPr>
          <w:rFonts w:ascii="David" w:hAnsi="David"/>
          <w:color w:val="000000"/>
          <w:rtl w:val="true"/>
        </w:rPr>
        <w:t>וזמינותו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המדאיגה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בלתי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חוקי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במחוזותינו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התעורר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הצורך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התגלגלותם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פיקוח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להוביל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להגעתם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לגורמים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פליליים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ועוינים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בגורלם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ולאילו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תוצאות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הרסניות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יובילו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בסכסוך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ברחוב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בקטטה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ניצים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ואף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בתוך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המשפחה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פנימה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הסכנה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אלה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לצד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המימדים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שאליהם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הגיעו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מחייבים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ביטוי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וכבד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הערך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החברתי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שנפגע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כתוצאה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הגנה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הציבור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מפני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פגיעות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בגוף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בנפש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ולהחמיר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המוטלים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פעילות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בהדרגה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למותר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לציין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לחתור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תחת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האופי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האינדיבידואלי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שבמלאכת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הענישה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הנעשית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בכל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לגופו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נסיבותיו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ומידת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cs="David" w:ascii="David" w:hAnsi="David"/>
          <w:color w:val="000000"/>
          <w:rtl w:val="true"/>
        </w:rPr>
        <w:t>".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13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ט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הבאות</w:t>
      </w:r>
      <w:r>
        <w:rPr>
          <w:color w:val="000000"/>
          <w:rtl w:val="true"/>
        </w:rPr>
        <w:t xml:space="preserve">: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במעשים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תכנון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יעבירו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37,000</w:t>
      </w:r>
      <w:r>
        <w:rPr>
          <w:color w:val="000000"/>
          <w:rtl w:val="true"/>
        </w:rPr>
        <w:t xml:space="preserve"> ₪)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יספקו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בתוכנית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שלבים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האקדחים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והעביר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חלקו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היחסי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בעיקרו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לחלקם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האחרים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בנוגע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לעבירת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הנשק</w:t>
      </w:r>
      <w:r>
        <w:rPr>
          <w:b/>
          <w:bCs/>
          <w:color w:val="000000"/>
          <w:rtl w:val="true"/>
        </w:rPr>
        <w:t xml:space="preserve">. </w:t>
      </w:r>
      <w:r>
        <w:rPr>
          <w:color w:val="000000"/>
          <w:rtl w:val="true"/>
        </w:rPr>
        <w:t>מחד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קיים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דומיננטי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שסיפקו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מאידך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גיסא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שקיבלו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וביכולתם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ולהפיץ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ישלמו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37,000</w:t>
      </w:r>
      <w:r>
        <w:rPr>
          <w:color w:val="000000"/>
          <w:rtl w:val="true"/>
        </w:rPr>
        <w:t xml:space="preserve"> ₪, </w:t>
      </w:r>
      <w:r>
        <w:rPr>
          <w:color w:val="000000"/>
          <w:rtl w:val="true"/>
        </w:rPr>
        <w:t>והנאשם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כלומר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יחד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הנזק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שהיה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צפוי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להיגרם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מביצוע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>;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579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אקדחים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מופצים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לגורמים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פליליים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עוינים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לקטילת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5935/03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עבאדי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4.4.04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שהזמין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דמוי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עט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מתחייב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נועדו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להפצה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נותנת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שנזקקו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יכלו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להיזקק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לרכישת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באקדחים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שהביאו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לבצע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העבירה</w:t>
      </w:r>
      <w:r>
        <w:rPr>
          <w:b/>
          <w:bCs/>
          <w:color w:val="000000"/>
          <w:rtl w:val="true"/>
        </w:rPr>
        <w:t xml:space="preserve">;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בחינת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מדיניות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הענישה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הנוהגת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מעלה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אין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בנמצא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רבים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שבהם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הורשעו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בנשיאה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גדולה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אקדחים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דמוי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עט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במקרים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דומים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שאינם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זהים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ובכמויות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קטנות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יותר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כלי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הוטלו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נאשמים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עונשי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במנעד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רחב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כמפורט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4703/16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נאזל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28.2.17</w:t>
      </w:r>
      <w:r>
        <w:rPr>
          <w:rtl w:val="true"/>
        </w:rPr>
        <w:t xml:space="preserve">)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הסתייעות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תעבורה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קולט</w:t>
      </w:r>
      <w:r>
        <w:rPr>
          <w:rFonts w:cs="Times New Roman"/>
          <w:rtl w:val="true"/>
        </w:rPr>
        <w:t xml:space="preserve"> </w:t>
      </w:r>
      <w:r>
        <w:rPr/>
        <w:t>0.45</w:t>
      </w:r>
      <w:r>
        <w:rPr>
          <w:rtl w:val="true"/>
        </w:rPr>
        <w:t xml:space="preserve"> </w:t>
      </w:r>
      <w:r>
        <w:rPr>
          <w:rtl w:val="true"/>
        </w:rPr>
        <w:t>ועשר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36091-07-17</w:t>
      </w:r>
      <w:r>
        <w:rPr>
          <w:rtl w:val="true"/>
        </w:rPr>
        <w:t xml:space="preserve">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נאזל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2.5.16</w:t>
      </w:r>
      <w:r>
        <w:rPr>
          <w:rtl w:val="true"/>
        </w:rPr>
        <w:t xml:space="preserve">)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4.5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וחודש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28.11.11</w:t>
      </w:r>
      <w:r>
        <w:rPr>
          <w:rtl w:val="true"/>
        </w:rPr>
        <w:t xml:space="preserve">)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תואמות</w:t>
      </w:r>
      <w:r>
        <w:rPr>
          <w:rtl w:val="true"/>
        </w:rPr>
        <w:t xml:space="preserve">,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",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קופסאות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260" w:end="0"/>
        <w:jc w:val="both"/>
        <w:rPr/>
      </w:pPr>
      <w:r>
        <w:rPr>
          <w:rtl w:val="true"/>
        </w:rPr>
        <w:t>ב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5935/03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עבאדי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4.4.04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</w:t>
      </w:r>
      <w:bookmarkStart w:id="6" w:name="LawTable"/>
      <w:bookmarkEnd w:id="6"/>
    </w:p>
    <w:p>
      <w:pPr>
        <w:pStyle w:val="Normal"/>
        <w:spacing w:lineRule="auto" w:line="360" w:before="0" w:after="120"/>
        <w:ind w:end="0"/>
        <w:jc w:val="both"/>
        <w:rPr/>
      </w:pPr>
      <w:r>
        <w:rPr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spacing w:lineRule="auto" w:line="360" w:before="0" w:after="120"/>
        <w:ind w:start="1260" w:end="0"/>
        <w:jc w:val="both"/>
        <w:rPr/>
      </w:pPr>
      <w:r>
        <w:rPr>
          <w:rtl w:val="true"/>
        </w:rPr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center"/>
        <w:rPr>
          <w:bCs/>
        </w:rPr>
      </w:pPr>
      <w:r>
        <w:rPr>
          <w:bCs/>
          <w:rtl w:val="true"/>
        </w:rPr>
        <w:t>בשידול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לייצור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נשק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וסחר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בנשק</w:t>
      </w:r>
      <w:r>
        <w:rPr>
          <w:bCs/>
          <w:rtl w:val="true"/>
        </w:rPr>
        <w:t xml:space="preserve">. </w:t>
      </w:r>
      <w:r>
        <w:rPr>
          <w:bCs/>
          <w:rtl w:val="true"/>
        </w:rPr>
        <w:t>הנאשם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ואדם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נוסף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פנו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לאחר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והציעו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לו</w:t>
      </w:r>
      <w:r>
        <w:rPr>
          <w:rFonts w:cs="Times New Roman"/>
          <w:bCs/>
          <w:rtl w:val="true"/>
        </w:rPr>
        <w:t xml:space="preserve"> </w:t>
      </w:r>
      <w:r>
        <w:rPr>
          <w:bCs/>
          <w:rtl w:val="true"/>
        </w:rPr>
        <w:t>לייצר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בעבורם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עטים</w:t>
      </w:r>
      <w:r>
        <w:rPr>
          <w:rtl w:val="true"/>
        </w:rPr>
        <w:t xml:space="preserve">. </w:t>
      </w:r>
      <w:r>
        <w:rPr>
          <w:rtl w:val="true"/>
        </w:rPr>
        <w:t>האקדחים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ובהודאתו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3804/10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נעאמנה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26.12.10</w:t>
      </w:r>
      <w:r>
        <w:rPr>
          <w:rtl w:val="true"/>
        </w:rPr>
        <w:t xml:space="preserve">)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ורימון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53772-07-17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23.11.17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אויר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זיקוקין</w:t>
      </w:r>
      <w:r>
        <w:rPr>
          <w:rtl w:val="true"/>
        </w:rPr>
        <w:t xml:space="preserve">, </w:t>
      </w:r>
      <w:r>
        <w:rPr>
          <w:rtl w:val="true"/>
        </w:rPr>
        <w:t>כוונות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סגור</w:t>
      </w:r>
      <w:r>
        <w:rPr>
          <w:rtl w:val="true"/>
        </w:rPr>
        <w:t xml:space="preserve">"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33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בהתאם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לתיקון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2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1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'),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סבורני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מתחם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העונש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ההולם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הינו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החל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cs="David" w:ascii="David" w:hAnsi="David"/>
          <w:color w:val="000000"/>
        </w:rPr>
        <w:t>55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85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מאסר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בפועל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קיימים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שיקולים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אשר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מצדיקים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סטייה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לקולא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בגזירת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המתאים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מתחם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העונש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להתחשב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בנסיבות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שאינן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קשורות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בביצוע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סעיף</w:t>
      </w:r>
      <w:r>
        <w:rPr>
          <w:rFonts w:ascii="David" w:hAnsi="David"/>
          <w:color w:val="000000"/>
          <w:rtl w:val="true"/>
        </w:rPr>
        <w:t xml:space="preserve"> </w:t>
      </w:r>
      <w:hyperlink r:id="rId22"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'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בחוק</w:t>
      </w:r>
      <w:r>
        <w:rPr>
          <w:rFonts w:cs="David" w:ascii="David" w:hAnsi="David"/>
          <w:color w:val="000000"/>
          <w:rtl w:val="true"/>
        </w:rPr>
        <w:t xml:space="preserve">). </w:t>
      </w:r>
      <w:r>
        <w:rPr>
          <w:rFonts w:ascii="David" w:hAnsi="David"/>
          <w:color w:val="000000"/>
          <w:rtl w:val="true"/>
        </w:rPr>
        <w:t>במסגרת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זו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ובמשפחתו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הקטין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/</w:t>
      </w:r>
      <w:r>
        <w:rPr>
          <w:color w:val="000000"/>
        </w:rPr>
        <w:t>1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מחומרתם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והפגין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קורבניות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נוצל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1982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הסתבכותו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החוק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>עוד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יש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לתת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הדעת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לשיקול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הרתעת</w:t>
      </w:r>
      <w:r>
        <w:rPr>
          <w:rFonts w:ascii="David" w:hAnsi="David"/>
          <w:b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היחיד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וזאת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לאור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התרשמות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המבחן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כי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התנהלותו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הנאשם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בעבירות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הנוכחיות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משקפת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נסיגה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משמעותיות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ביכולת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שלו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להציב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לעצמו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מעידה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הפנמת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דפוסים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עבריינים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וקשרים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חברתיים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שוליים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אחידות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בענישה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בהשוואה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היחסי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ובנסיבותיהם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מכיוון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הנוגעים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לבחון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לכאורה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מהווה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אריתמטי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מוטלים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בנפרד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חפיפה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כלשהי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והשלישי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שהקימו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קנאבוס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בשיטת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הידרו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במעבדה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קנאבוס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142,000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במעבדה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קנאבוס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37.5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חשמל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166,000</w:t>
      </w:r>
      <w:r>
        <w:rPr>
          <w:color w:val="000000"/>
          <w:rtl w:val="true"/>
        </w:rPr>
        <w:t xml:space="preserve"> ₪.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6987/13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אברמוב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21.10.13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6869/17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פילברג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11.9.17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2194/14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שמעון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10.9.14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34383-10-16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קדר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12.2.17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קנאבוס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לחובת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סתם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צ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התיישן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נמחק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לחובת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שהתיישן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רישומו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ושלושה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לנוער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שמתוכם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הסתיימו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1997-1999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סחיטה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ואלימות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מעונשם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וממילא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באישומים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והשלישי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הנוגעים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עתיד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וגניבת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החשמל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2-3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גוזר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על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הנאשם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את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העונשים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62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9.11.16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4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1.9.18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start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start"/>
        <w:rPr/>
      </w:pPr>
      <w:r>
        <w:rPr>
          <w:rFonts w:ascii="David" w:hAnsi="David"/>
          <w:color w:val="000000"/>
          <w:rtl w:val="true"/>
          <w:lang w:eastAsia="he-IL"/>
        </w:rPr>
        <w:t>מזכירות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בית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המשפט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תמציא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העתק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גזר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דין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לשירות</w:t>
      </w:r>
      <w:r>
        <w:rPr>
          <w:rFonts w:ascii="David" w:hAnsi="David"/>
          <w:color w:val="000000"/>
          <w:rtl w:val="true"/>
          <w:lang w:eastAsia="he-IL"/>
        </w:rPr>
        <w:t xml:space="preserve"> </w:t>
      </w:r>
      <w:r>
        <w:rPr>
          <w:rFonts w:ascii="David" w:hAnsi="David"/>
          <w:color w:val="000000"/>
          <w:rtl w:val="true"/>
          <w:lang w:eastAsia="he-IL"/>
        </w:rPr>
        <w:t>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end="0"/>
        <w:jc w:val="start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 w:before="0" w:after="120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מרץ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spacing w:lineRule="auto" w:line="360" w:before="0" w:after="120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spacing w:lineRule="auto" w:line="360" w:before="0" w:after="120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54678313-3804/10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3804/10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47586-11-16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רמיל ניסנוב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  <w:rPr>
        <w:rFonts w:cs="Times New Roman"/>
      </w:r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  <w:rPr>
        <w:rFonts w:cs="Times New Roman"/>
      </w:r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  <w:rPr>
        <w:rFonts w:cs="Times New Roman"/>
      </w:r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>
        <w:rFonts w:cs="Times New Roman"/>
      </w:r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  <w:rPr>
        <w:rFonts w:cs="Times New Roman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1440"/>
        </w:tabs>
        <w:ind w:start="1440" w:hanging="360"/>
      </w:pPr>
      <w:rPr>
        <w:b w:val="false"/>
        <w:bCs w:val="false"/>
        <w:rFonts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cs="David"/>
      <w:b w:val="false"/>
      <w:bCs w:val="false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ascii="Times New (W1);Times New Roman" w:hAnsi="Times New (W1);Times New Roman" w:cs="Times New (W1);Times New Roman"/>
      <w:color w:val="000000"/>
    </w:rPr>
  </w:style>
  <w:style w:type="character" w:styleId="WW8Num4z0">
    <w:name w:val="WW8Num4z0"/>
    <w:qFormat/>
    <w:rPr>
      <w:rFonts w:cs="Times New Roman"/>
    </w:rPr>
  </w:style>
  <w:style w:type="character" w:styleId="WW8Num4z1">
    <w:name w:val="WW8Num4z1"/>
    <w:qFormat/>
    <w:rPr>
      <w:rFonts w:cs="David"/>
      <w:b w:val="false"/>
      <w:bCs w:val="false"/>
    </w:rPr>
  </w:style>
  <w:style w:type="character" w:styleId="WW8Num4z3">
    <w:name w:val="WW8Num4z3"/>
    <w:qFormat/>
    <w:rPr>
      <w:rFonts w:cs="Times New Roman"/>
    </w:rPr>
  </w:style>
  <w:style w:type="character" w:styleId="WW8Num5z0">
    <w:name w:val="WW8Num5z0"/>
    <w:qFormat/>
    <w:rPr/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Hyperlink">
    <w:name w:val="Hyperlink"/>
    <w:rPr>
      <w:color w:val="0563C1"/>
      <w:u w:val="single"/>
    </w:rPr>
  </w:style>
  <w:style w:type="character" w:styleId="Style12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Normal"/>
    <w:pPr>
      <w:spacing w:before="0" w:after="0"/>
      <w:ind w:hanging="283" w:start="283" w:end="0"/>
      <w:contextualSpacing/>
    </w:pPr>
    <w:rPr>
      <w:rFonts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qFormat/>
    <w:pPr>
      <w:numPr>
        <w:ilvl w:val="0"/>
        <w:numId w:val="2"/>
      </w:numPr>
      <w:spacing w:lineRule="auto" w:line="360" w:before="0" w:after="120"/>
      <w:ind w:hanging="0" w:start="0" w:end="360"/>
    </w:pPr>
    <w:rPr/>
  </w:style>
  <w:style w:type="paragraph" w:styleId="Style13">
    <w:name w:val="כותרת"/>
    <w:basedOn w:val="Normal"/>
    <w:next w:val="List"/>
    <w:qFormat/>
    <w:pPr>
      <w:spacing w:lineRule="auto" w:line="360" w:before="0" w:after="120"/>
    </w:pPr>
    <w:rPr>
      <w:bCs/>
      <w:u w:val="single"/>
    </w:rPr>
  </w:style>
  <w:style w:type="paragraph" w:styleId="Style14">
    <w:name w:val="ממוספר"/>
    <w:basedOn w:val="Normal"/>
    <w:qFormat/>
    <w:pPr>
      <w:numPr>
        <w:ilvl w:val="0"/>
        <w:numId w:val="4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i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40ja" TargetMode="External"/><Relationship Id="rId6" Type="http://schemas.openxmlformats.org/officeDocument/2006/relationships/hyperlink" Target="http://www.nevo.co.il/law/70301/40jc" TargetMode="External"/><Relationship Id="rId7" Type="http://schemas.openxmlformats.org/officeDocument/2006/relationships/hyperlink" Target="http://www.nevo.co.il/law/70301/499.a.1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case/5917274" TargetMode="External"/><Relationship Id="rId12" Type="http://schemas.openxmlformats.org/officeDocument/2006/relationships/hyperlink" Target="http://www.nevo.co.il/case/6473037" TargetMode="External"/><Relationship Id="rId13" Type="http://schemas.openxmlformats.org/officeDocument/2006/relationships/hyperlink" Target="http://www.nevo.co.il/law/70301/40i" TargetMode="External"/><Relationship Id="rId14" Type="http://schemas.openxmlformats.org/officeDocument/2006/relationships/hyperlink" Target="http://www.nevo.co.il/case/5673420" TargetMode="External"/><Relationship Id="rId15" Type="http://schemas.openxmlformats.org/officeDocument/2006/relationships/hyperlink" Target="http://www.nevo.co.il/case/21475356" TargetMode="External"/><Relationship Id="rId16" Type="http://schemas.openxmlformats.org/officeDocument/2006/relationships/hyperlink" Target="http://www.nevo.co.il/case/5958231" TargetMode="External"/><Relationship Id="rId17" Type="http://schemas.openxmlformats.org/officeDocument/2006/relationships/hyperlink" Target="http://www.nevo.co.il/case/5673420" TargetMode="External"/><Relationship Id="rId18" Type="http://schemas.openxmlformats.org/officeDocument/2006/relationships/hyperlink" Target="http://www.nevo.co.il/case/5917274" TargetMode="External"/><Relationship Id="rId19" Type="http://schemas.openxmlformats.org/officeDocument/2006/relationships/hyperlink" Target="http://www.nevo.co.il/case/2285465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jc" TargetMode="External"/><Relationship Id="rId22" Type="http://schemas.openxmlformats.org/officeDocument/2006/relationships/hyperlink" Target="http://www.nevo.co.il/law/70301/40ja" TargetMode="External"/><Relationship Id="rId23" Type="http://schemas.openxmlformats.org/officeDocument/2006/relationships/hyperlink" Target="http://www.nevo.co.il/case/8291661" TargetMode="External"/><Relationship Id="rId24" Type="http://schemas.openxmlformats.org/officeDocument/2006/relationships/hyperlink" Target="http://www.nevo.co.il/case/22961877" TargetMode="External"/><Relationship Id="rId25" Type="http://schemas.openxmlformats.org/officeDocument/2006/relationships/hyperlink" Target="http://www.nevo.co.il/case/13070717" TargetMode="External"/><Relationship Id="rId26" Type="http://schemas.openxmlformats.org/officeDocument/2006/relationships/hyperlink" Target="http://www.nevo.co.il/case/22087107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2018-09-26T08:13:00Z</dcterms:created>
  <dc:creator> </dc:creator>
  <dc:description/>
  <cp:keywords/>
  <dc:language>en-IL</dc:language>
  <cp:lastModifiedBy>run</cp:lastModifiedBy>
  <dcterms:modified xsi:type="dcterms:W3CDTF">2018-09-26T08:13:00Z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רמיל ניסנוב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ProcID=209&amp;PartA=36091&amp;PartB=07&amp;PartC=17</vt:lpwstr>
  </property>
  <property fmtid="{D5CDD505-2E9C-101B-9397-08002B2CF9AE}" pid="9" name="CASESLISTTMP1">
    <vt:lpwstr>5917274:2;6473037;5673420:2;21475356;5958231;22854655;8291661;22961877;13070717;22087107</vt:lpwstr>
  </property>
  <property fmtid="{D5CDD505-2E9C-101B-9397-08002B2CF9AE}" pid="10" name="CITY">
    <vt:lpwstr>מרכז</vt:lpwstr>
  </property>
  <property fmtid="{D5CDD505-2E9C-101B-9397-08002B2CF9AE}" pid="11" name="DATE">
    <vt:lpwstr>20180319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עמי קובו</vt:lpwstr>
  </property>
  <property fmtid="{D5CDD505-2E9C-101B-9397-08002B2CF9AE}" pid="15" name="LAWLISTTMP1">
    <vt:lpwstr>70301/144.b:2;499.a.1:2;040i:2;40jc:2;40ja:2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47586</vt:lpwstr>
  </property>
  <property fmtid="{D5CDD505-2E9C-101B-9397-08002B2CF9AE}" pid="23" name="NEWPARTB">
    <vt:lpwstr>11</vt:lpwstr>
  </property>
  <property fmtid="{D5CDD505-2E9C-101B-9397-08002B2CF9AE}" pid="24" name="NEWPARTC">
    <vt:lpwstr>16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390020180319</vt:lpwstr>
  </property>
  <property fmtid="{D5CDD505-2E9C-101B-9397-08002B2CF9AE}" pid="35" name="TYPE_N_DATE">
    <vt:lpwstr>39020180319</vt:lpwstr>
  </property>
  <property fmtid="{D5CDD505-2E9C-101B-9397-08002B2CF9AE}" pid="36" name="VOLUME">
    <vt:lpwstr/>
  </property>
  <property fmtid="{D5CDD505-2E9C-101B-9397-08002B2CF9AE}" pid="37" name="WORDNUMPAGES">
    <vt:lpwstr>10</vt:lpwstr>
  </property>
</Properties>
</file>