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47667-04-14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שמחון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Normal"/>
        <w:ind w:end="0"/>
        <w:jc w:val="start"/>
        <w:rPr>
          <w:rFonts w:ascii="Times New Roman" w:hAnsi="Times New Roman" w:cs="Times New Roman"/>
          <w:vanish/>
        </w:rPr>
      </w:pPr>
      <w:r>
        <w:rPr>
          <w:rFonts w:cs="Times New Roman" w:ascii="Times New Roman" w:hAnsi="Times New Roman"/>
          <w:vanish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vanish/>
          <w:sz w:val="6"/>
          <w:szCs w:val="6"/>
        </w:rPr>
      </w:pPr>
      <w:r>
        <w:rPr>
          <w:rFonts w:cs="Times New Roman" w:ascii="Times New Roman" w:hAnsi="Times New Roman"/>
          <w:vanish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 שאהר אטרש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eastAsia="Times New Roman" w:cs="Times New Roman" w:ascii="Times New Roman" w:hAnsi="Times New Roman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אדם בן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דוד בן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שמחון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אביתר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יעקב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שמש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i/>
          <w:iCs/>
          <w:u w:val="none"/>
          <w:rtl w:val="true"/>
        </w:rPr>
        <w:t xml:space="preserve">: 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סופי גרניט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הנאשמים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דורון נוי ועו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יהלי שפרלינג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 xml:space="preserve">הנאשמים הובאו באמצעות הליווי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448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452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48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1961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לא מרובדות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303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לנאשמים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המוסכם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מאוד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הספציפיות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הנדון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אישורו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הצתה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היזק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בזדון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הסתייעות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ברכב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לוחית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זיהוי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הוסכם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המוסכם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וספק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בהינתן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המאשימה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עמדת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וההלכה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מרבי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שפרטיו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בקפידה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רציני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הספציפיות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נוטה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אימוץ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ההסדר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הוטל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פיצוי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למתלונן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6"/>
          <w:u w:val="none"/>
        </w:rPr>
      </w:pPr>
      <w:r>
        <w:rPr>
          <w:rFonts w:cs="FrankRuehl" w:ascii="FrankRuehl" w:hAnsi="FrankRuehl"/>
          <w:b w:val="false"/>
          <w:bCs w:val="false"/>
          <w:szCs w:val="26"/>
          <w:u w:val="none"/>
          <w:rtl w:val="true"/>
        </w:rPr>
      </w:r>
      <w:bookmarkStart w:id="6" w:name="ABSTRACT_END"/>
      <w:bookmarkStart w:id="7" w:name="ABSTRACT_END"/>
      <w:bookmarkEnd w:id="7"/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יסוד הודאתם של שני הנאשמים</w:t>
      </w:r>
      <w:r>
        <w:rPr>
          <w:rtl w:val="true"/>
        </w:rPr>
        <w:t xml:space="preserve">, </w:t>
      </w:r>
      <w:r>
        <w:rPr>
          <w:rtl w:val="true"/>
        </w:rPr>
        <w:t>אני מרשיע אותם בעבירות המיוחסות להם בכתב האישום 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ייצור נשק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נשיאת והובלה של נשק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ביחד עם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הצתה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קשירת קשר לביצוע פשע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היזק בזדון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הסתייעות ברכב לביצוע פשע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1961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אי שמירת לוחית זיהוי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303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תקנות</w:t>
        </w:r>
        <w:r>
          <w:rPr>
            <w:rStyle w:val="Hyperlink"/>
            <w:rtl w:val="true"/>
          </w:rPr>
          <w:t xml:space="preserve"> 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3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התעבורה</w:t>
        </w:r>
      </w:hyperlink>
      <w:r>
        <w:rPr>
          <w:rtl w:val="true"/>
        </w:rPr>
        <w:t xml:space="preserve">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21/10/2014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שאהר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אטרש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  <w:lang w:eastAsia="he-IL"/>
        </w:rPr>
      </w:pPr>
      <w:r>
        <w:rPr>
          <w:sz w:val="6"/>
          <w:szCs w:val="6"/>
          <w:rtl w:val="true"/>
          <w:lang w:eastAsia="he-IL"/>
        </w:rPr>
        <w:t>&lt;</w:t>
      </w:r>
      <w:r>
        <w:rPr>
          <w:sz w:val="6"/>
          <w:szCs w:val="6"/>
          <w:lang w:eastAsia="he-IL"/>
        </w:rPr>
        <w:t>#5#</w:t>
      </w:r>
      <w:r>
        <w:rPr>
          <w:sz w:val="6"/>
          <w:szCs w:val="6"/>
          <w:rtl w:val="true"/>
          <w:lang w:eastAsia="he-IL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  <w:lang w:eastAsia="he-IL"/>
        </w:rPr>
        <w:t>הנאשמים הודו במסגרת הסדר טיעון בעובדות כתב האישום והורשעו בעבירות שלהלן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ייצור 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נשיאה והובלה של 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קשירת קשר לביצוע 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היזק בזדון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הסתייעות ברכב לביצוע פשע ואי שמירת לוחית זיהוי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בהתאם להסדר הטיעון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הצדדים מבקשים לגזור עונש מוסכם של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בפועל על כל אחד משני הנאשמים ועונשים נלווים לפי שיקול דעת בית המשפט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פי עובדות כתב 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משה גבאי הנו המנהל של מועדון בילוי הנמצא בטבריה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המועדון</w:t>
      </w:r>
      <w:r>
        <w:rPr>
          <w:rtl w:val="true"/>
          <w:lang w:eastAsia="he-IL"/>
        </w:rPr>
        <w:t xml:space="preserve">"); </w:t>
      </w:r>
      <w:r>
        <w:rPr>
          <w:rtl w:val="true"/>
          <w:lang w:eastAsia="he-IL"/>
        </w:rPr>
        <w:t xml:space="preserve">עובר לתאריך </w:t>
      </w:r>
      <w:r>
        <w:rPr>
          <w:lang w:eastAsia="he-IL"/>
        </w:rPr>
        <w:t>24.4.14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קשרו הנאשמים קשר ביניהם להצית את המועדון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לצורך מימוש הקשר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הצטיידו הנאשמים בנוזל דליק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בקבוקי זכוכית ריקים וסמרטוטים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הנאשמים או מי מטעמם מילאו את הבקבוקים בנוזל הדליק והכניסו את הסמרטוטים לפיית הבקבוקים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בקבוקי התבערה</w:t>
      </w:r>
      <w:r>
        <w:rPr>
          <w:rtl w:val="true"/>
          <w:lang w:eastAsia="he-IL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 xml:space="preserve">בתאריך </w:t>
      </w:r>
      <w:r>
        <w:rPr>
          <w:lang w:eastAsia="he-IL"/>
        </w:rPr>
        <w:t>24.4.14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סמוך לשעה </w:t>
      </w:r>
      <w:r>
        <w:rPr>
          <w:lang w:eastAsia="he-IL"/>
        </w:rPr>
        <w:t>00:30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לשם קידום מטרת הקשר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ביקש הנאשם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מחברתו לחיים לעשות שימוש ברכב השייך להוריה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 מחברתו את מפתחות דירת הוריה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נכנס לדירה ונטל משם בהסכמתה את הרכב הרשום על שם אמה של חברתו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בהמשך 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יצאו שני הנאשמים מאזור המרכז לכיוון טבריה 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בסמוך לשעה </w:t>
      </w:r>
      <w:r>
        <w:rPr>
          <w:lang w:eastAsia="he-IL"/>
        </w:rPr>
        <w:t>04:00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 הנאשמים ברכב לאזור המועדון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כאשר הנאשם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 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טרם הגעתם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מרחו הנאשמים חומר כלשהו על לוחיות הזיהוי על מנת לטשטש את הלוחיות ולמנוע את זיהוי 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 נשאו עמם ברכב את בקבוקי התבערה וכן מיכל עם חומר דליק וכפפות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בסמוך למועדון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עצר הנאשם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 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 מכיסא הנוסע של 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הצית את אחד מבקבוקי התבערה והשליכו לעבר המועדון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בקבוק התבערה פגע בשער המועדון והצית אש בסמוך לשער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 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חזר הנאשם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הצית את בקבוק התבערה 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התקדם לעבר המועדון והשליך אותו אל תוך חצר המועדון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בקבוק התבערה השני פגע בעץ הנמצא בחצר המועדון וכתוצאה מכך נשפך ממנו החומר הדליק על רצפת עץ הנמצאת בחצר המועדון וכתוצאה מכך פרצה שרפה על רצפת העץ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האש שפרצה כובתה על ידי מאבטח שהיה באותה עת במועדון אשר השתמש במטף כיבוי לשם כך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במעשיהם האמורים 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ייצרו 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בצוותא חדא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נשק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בקבוקי תבערה המיועדים לפלוט חומר המסוגל לפגוע באדם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 נשאו והובילו את 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 אף הציתו את המועדון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קשרו קשר לביצוע פשע וגרמו בזדון נזק לרכוש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לשם ביצוע העבירות האמורות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 מסוג 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השתמשו הנאשמים ברכב ואף טשטשו את לוחיות הזיהוי של הרכב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בטיעוניה לעונש ביקשה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המאשימה לכבד את הסדר הטיעון בהדגישה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לצורך עריכת ההסדר נלקחו בחשבון שיקולים שונים אודות המצב הראייתי בתיק ועוצמת הראיות ביחס לכל אחד משני הנאשמים וגם שיקולים ראייתיים נוספים שלא ניתן לפרטם באופן גלוי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התחשבה המאשימה בעברו הנקי של 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אל מול הרשעות רבות שיש לנאשם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אך לטענת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ההבדל בעבר הפלילי של שני הנאשמים מצא את האיזון בהבדלים בין החלק של כל אחד מהם במעשים וכן בראיות הקיימות נגד כל אחד מהם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התחשבה המאשימה בהודאה המהירה של הנאשמים ובעמדת המתלונן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המאשימה אף הדגישה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מדובר בענישה מקלה וכי בנסיבות רגילות היו טוענים למתחם ענישה אשר העונש המוסכם הוא הגבול התחתון שלו אך בנסיבות הקונקרטיות של המקרה ובמיוחד בנסיבות הראייתיות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סבורה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שאין המדובר בחריגה בלתי סבירה מהעונש ההולם ומבקשת לכבד את ההסדר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בנוסף למאסר 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מבקשת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כ המאשימה להטיל מאסר על תנאי ופיצוי לטובת המתלונן וכן להטיל על 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 של פסילת רישיון נהיגה 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הנאשמים מצטרף לנימוקי התביעה ומבקש לקבל את ההסדר בהדגישו את הליך המשא ומתן המידי שהביא להסדר טיעון ולסיום מהיר של התיק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 הטומן בחובו חסכון בזמן שיפוטי יקר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הנאשמים מבקש להימנע מהטלת פסילה 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 אין המדובר בעבירת תעבורה מהרף הגבוה וכן מבקש להימנע מהטלת פיצוי היות ומדובר בנזק מזערי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ולחלופין להסתפק בפיצוי בשיעור נמוך בשים לב 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שהנאשמים עצורים מזה כשישה חודשים ואין להם מקור הכנסה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הוא אב לשני ילדים קטינים הסמוכים על שולחנו והוא מפרנס יחיד ונאשם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רווק ללא עבר פלילי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שני הנאשמים ביקשו לכבד את ההסדר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אין צורך להכביר מילים אודות חומרת העבירות בהן הודו הנאשמים ואודות חומרת מעשיהם ונסיבות ביצועם כמתואר בכתב 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 במעשים חמורים הטומנים בחובם מסוכנות רבה הן לגוף והן לרכוש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ניסיון ההצתה של המועדון אמנם לא הצליח אך זאת בעיקר בשל הימצאותו של מאבטח שהיה במקום וכיבה את האש שפרצה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 xml:space="preserve">מכלול המעשים המתוארים בכתב האישום מלמדים על תעוזה רבה ואם נוסיף לכך את עברו הפלילי של 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 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 של סחיטה בכוח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נגיע לכלל מסקנה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מעשיהם של הנאשמים מצדיקים ענישה מחמירה בעיקר בשל שיקולי גמול והרתעה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יחד עם 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להתעלם מהודאתם של הנאשמים בשלב מוקדם של המשפט אשר ללא ספק מביאה לחסכון של זמן ומשאבים וכן אין להתעלם מנסיבותיהם האישיות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במיוחד מעברו הנקי של הנאשם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לאחר בחינת השיקולים לחומרה ולקולא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ניתן שלא להיווכח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העונש המוסכם אליו עותרים הצדדים מקל עד מאוד עם הנאשמים וספק אם הוא נמצא בתוך מתחם העונש ההולם למעשי העבירות שביצעו הנאשמים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יחד עם 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בהינתן השיקולים שמנתה המאשימה ובעיקרם המצב הראייתי לרבות שיקולים ראייתיים שהעדיפה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המאשימה שלא לפרטם באופן גלוי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עמדתו של המתלונן וההלכה לפיה יש ליתן להסדר טיעון משקל מרבי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ובהינתן התרשמותי 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 בהסדר טיעון שפרטיו נשקלו בקפידה לאחר משא ומתן רציני ומשכך יש ליתן לו את מלוא המשקל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בנסיבות הספציפיות של המקרה הנוכחי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הכף נוטה לעבר קבלת הסדר הטיעון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אשר על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 לגזור על הנאשמים את העונשים שלהלן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b/>
          <w:b/>
          <w:bCs/>
          <w:u w:val="single"/>
          <w:rtl w:val="true"/>
          <w:lang w:eastAsia="he-IL"/>
        </w:rPr>
        <w:t xml:space="preserve">על הנאשם </w:t>
      </w:r>
      <w:r>
        <w:rPr>
          <w:b/>
          <w:bCs/>
          <w:u w:val="single"/>
          <w:lang w:eastAsia="he-IL"/>
        </w:rPr>
        <w:t>1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 מאסר בפועל החל מיום מעצרו </w:t>
      </w:r>
      <w:r>
        <w:rPr>
          <w:lang w:eastAsia="he-IL"/>
        </w:rPr>
        <w:t>24.4.14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 מאסר על תנאי והתנאי הוא שהנאשם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 יעבור בתוך שנתיים מיום שחרורו עבירת נשק או עבירת הצתה או כל עבירת אלימות מסוג 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 xml:space="preserve">תשלום פיצוי למתלונן בסך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 xml:space="preserve">הפיצוי ישולם לפני חלוף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יום מיום שחרורו של הנאשם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 xml:space="preserve">על הנאשם </w:t>
      </w:r>
      <w:r>
        <w:rPr>
          <w:b/>
          <w:bCs/>
          <w:u w:val="single"/>
          <w:lang w:eastAsia="he-IL"/>
        </w:rPr>
        <w:t>2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 מאסר בפועל החל מיום מעצרו </w:t>
      </w:r>
      <w:r>
        <w:rPr>
          <w:lang w:eastAsia="he-IL"/>
        </w:rPr>
        <w:t>24.4.14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 מאסר על תנאי והתנאי הוא שהנאשם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 יעבור בתוך שנתיים מיום שחרורו עבירת נשק או עבירת הצתה או כל עבירת אלימות מסוג 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 xml:space="preserve">תשלום פיצוי למתלונן בסך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 xml:space="preserve">הפיצוי ישולם לפני חלוף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יום מיום שחרורו של הנאשם </w:t>
      </w:r>
      <w:r>
        <w:rPr>
          <w:lang w:eastAsia="he-IL"/>
        </w:rPr>
        <w:t>2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 xml:space="preserve">אני פוסל את הנאשם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מלקבל או מלהחזיק רישיון נהיגה לתקופה של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 וזאת במצטבר לכל פסילה אחרת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הפסילה תימנה מיום שחרורו ממאסר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 xml:space="preserve">זכות ערעור תוך </w:t>
      </w:r>
      <w:r>
        <w:rPr>
          <w:b/>
          <w:bCs/>
          <w:u w:val="single"/>
          <w:lang w:eastAsia="he-IL"/>
        </w:rPr>
        <w:t>45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יום מהיום</w:t>
      </w:r>
      <w:r>
        <w:rPr>
          <w:b/>
          <w:bCs/>
          <w:u w:val="single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21/10/2014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שאהר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אטרש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 </w:t>
      </w:r>
      <w:r>
        <w:rPr>
          <w:rtl w:val="true"/>
        </w:rPr>
        <w:t>אסולין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onsolas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47667-04-14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אדם בן דוד בן שמחון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7667-04-14"/>
    <w:docVar w:name="caseId" w:val="71852811"/>
    <w:docVar w:name="deriveClass" w:val="NGCS.Protocol.BL.Client.ProtocolBLClientCriminal"/>
    <w:docVar w:name="firstPageNumber" w:val="3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5138746"/>
    <w:docVar w:name="releaseSign" w:val="0"/>
    <w:docVar w:name="sittingDateTime" w:val="21/10/2014 09:30     "/>
    <w:docVar w:name="sittingId" w:val="77830683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rFonts w:ascii="Times New Roman" w:hAnsi="Times New Roman" w:eastAsia="Times New Roman" w:cs="Times New Roman"/>
      <w:b/>
      <w:bCs/>
      <w:sz w:val="30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7z0">
    <w:name w:val="WW8Num17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6z0">
    <w:name w:val="WW8Num26z0"/>
    <w:qFormat/>
    <w:rPr>
      <w:rFonts w:ascii="Calibri" w:hAnsi="Calibri" w:eastAsia="Calibri" w:cs="David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5">
    <w:name w:val="טקסט מציין מיקום"/>
    <w:qFormat/>
    <w:rPr>
      <w:color w:val="808080"/>
    </w:rPr>
  </w:style>
  <w:style w:type="character" w:styleId="CharChar31">
    <w:name w:val=" Char Char31"/>
    <w:qFormat/>
    <w:rPr>
      <w:rFonts w:ascii="Times New Roman" w:hAnsi="Times New Roman" w:eastAsia="Times New Roman" w:cs="Times New Roman"/>
      <w:b/>
      <w:bCs/>
      <w:sz w:val="30"/>
      <w:szCs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Consolas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sz w:val="24"/>
      <w:szCs w:val="24"/>
    </w:rPr>
  </w:style>
  <w:style w:type="character" w:styleId="CharChar22">
    <w:name w:val=" Char Char22"/>
    <w:qFormat/>
    <w:rPr>
      <w:sz w:val="24"/>
      <w:szCs w:val="24"/>
    </w:rPr>
  </w:style>
  <w:style w:type="character" w:styleId="CharChar21">
    <w:name w:val=" Char Char21"/>
    <w:qFormat/>
    <w:rPr>
      <w:sz w:val="24"/>
      <w:szCs w:val="24"/>
    </w:rPr>
  </w:style>
  <w:style w:type="character" w:styleId="CharChar20">
    <w:name w:val=" Char Char20"/>
    <w:qFormat/>
    <w:rPr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6">
    <w:name w:val="הדגשה חזקה"/>
    <w:qFormat/>
    <w:rPr>
      <w:b/>
      <w:bCs/>
      <w:i/>
      <w:iCs/>
      <w:color w:val="4F81BD"/>
    </w:rPr>
  </w:style>
  <w:style w:type="character" w:styleId="Style7">
    <w:name w:val="הדגשה עדינה"/>
    <w:qFormat/>
    <w:rPr>
      <w:i/>
      <w:iCs/>
      <w:color w:val="808080"/>
    </w:rPr>
  </w:style>
  <w:style w:type="character" w:styleId="Style8">
    <w:name w:val="הפניה חזקה"/>
    <w:qFormat/>
    <w:rPr>
      <w:b/>
      <w:bCs/>
      <w:smallCaps/>
      <w:color w:val="C0504D"/>
      <w:spacing w:val="5"/>
      <w:u w:val="single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9">
    <w:name w:val="הפניה עדינה"/>
    <w:qFormat/>
    <w:rPr>
      <w:smallCaps/>
      <w:color w:val="C0504D"/>
      <w:u w:val="single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sz w:val="24"/>
      <w:szCs w:val="24"/>
    </w:rPr>
  </w:style>
  <w:style w:type="character" w:styleId="CharChar18">
    <w:name w:val=" Char Char18"/>
    <w:qFormat/>
    <w:rPr>
      <w:sz w:val="24"/>
      <w:szCs w:val="24"/>
    </w:rPr>
  </w:style>
  <w:style w:type="character" w:styleId="CharChar17">
    <w:name w:val=" Char Char17"/>
    <w:basedOn w:val="DefaultParagraphFont"/>
    <w:qFormat/>
    <w:rPr/>
  </w:style>
  <w:style w:type="character" w:styleId="CharChar16">
    <w:name w:val=" Char Char16"/>
    <w:basedOn w:val="DefaultParagraphFont"/>
    <w:qFormat/>
    <w:rPr/>
  </w:style>
  <w:style w:type="character" w:styleId="CharChar15">
    <w:name w:val=" Char Char15"/>
    <w:qFormat/>
    <w:rPr>
      <w:rFonts w:ascii="Consolas" w:hAnsi="Consolas" w:cs="Consolas"/>
    </w:rPr>
  </w:style>
  <w:style w:type="character" w:styleId="CharChar14">
    <w:name w:val=" Char Char14"/>
    <w:qFormat/>
    <w:rPr>
      <w:rFonts w:ascii="Consolas" w:hAnsi="Consolas" w:cs="Consolas"/>
      <w:sz w:val="21"/>
      <w:szCs w:val="21"/>
    </w:rPr>
  </w:style>
  <w:style w:type="character" w:styleId="Style10">
    <w:name w:val="כותר הספר"/>
    <w:qFormat/>
    <w:rPr>
      <w:b/>
      <w:bCs/>
      <w:smallCaps/>
      <w:spacing w:val="5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CharChar27">
    <w:name w:val=" Char Char27"/>
    <w:qFormat/>
    <w:rPr>
      <w:rFonts w:ascii="Cambria" w:hAnsi="Cambria" w:eastAsia="Times New Roman" w:cs="Times New Roman"/>
      <w:color w:val="404040"/>
    </w:rPr>
  </w:style>
  <w:style w:type="character" w:styleId="CharChar26">
    <w:name w:val=" Char Char26"/>
    <w:qFormat/>
    <w:rPr>
      <w:rFonts w:ascii="Cambria" w:hAnsi="Cambria" w:eastAsia="Times New Roman" w:cs="Times New Roman"/>
      <w:i/>
      <w:iCs/>
      <w:color w:val="404040"/>
    </w:rPr>
  </w:style>
  <w:style w:type="character" w:styleId="CharChar13">
    <w:name w:val=" Char Char13"/>
    <w:qFormat/>
    <w:rPr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CharChar11">
    <w:name w:val=" Char Char11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sz w:val="24"/>
      <w:szCs w:val="24"/>
    </w:rPr>
  </w:style>
  <w:style w:type="character" w:styleId="CharChar8">
    <w:name w:val=" Char Char8"/>
    <w:qFormat/>
    <w:rPr>
      <w:sz w:val="24"/>
      <w:szCs w:val="24"/>
    </w:rPr>
  </w:style>
  <w:style w:type="character" w:styleId="CharChar7">
    <w:name w:val=" Char Char7"/>
    <w:qFormat/>
    <w:rPr>
      <w:sz w:val="16"/>
      <w:szCs w:val="16"/>
    </w:rPr>
  </w:style>
  <w:style w:type="character" w:styleId="CharChar6">
    <w:name w:val=" Char Char6"/>
    <w:qFormat/>
    <w:rPr>
      <w:sz w:val="24"/>
      <w:szCs w:val="24"/>
    </w:rPr>
  </w:style>
  <w:style w:type="character" w:styleId="CharChar5">
    <w:name w:val=" Char Char5"/>
    <w:qFormat/>
    <w:rPr>
      <w:sz w:val="24"/>
      <w:szCs w:val="24"/>
    </w:rPr>
  </w:style>
  <w:style w:type="character" w:styleId="CharChar4">
    <w:name w:val=" Char Char4"/>
    <w:qFormat/>
    <w:rPr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rFonts w:ascii="Times New Roman" w:hAnsi="Times New Roman" w:eastAsia="Times New Roman" w:cs="Times New Roman"/>
    </w:rPr>
  </w:style>
  <w:style w:type="character" w:styleId="CharChar2">
    <w:name w:val=" Char Char2"/>
    <w:qFormat/>
    <w:rPr>
      <w:rFonts w:ascii="Times New Roman" w:hAnsi="Times New Roman" w:eastAsia="Times New Roman" w:cs="Times New Roman"/>
      <w:b/>
      <w:bCs/>
    </w:rPr>
  </w:style>
  <w:style w:type="character" w:styleId="CharChar1">
    <w:name w:val=" Char Char1"/>
    <w:qFormat/>
    <w:rPr>
      <w:sz w:val="24"/>
      <w:szCs w:val="24"/>
    </w:rPr>
  </w:style>
  <w:style w:type="character" w:styleId="Style11">
    <w:name w:val="ציטוט תו"/>
    <w:qFormat/>
    <w:rPr>
      <w:i/>
      <w:iCs/>
      <w:color w:val="000000"/>
      <w:sz w:val="24"/>
      <w:szCs w:val="24"/>
    </w:rPr>
  </w:style>
  <w:style w:type="character" w:styleId="Style12">
    <w:name w:val="ציטוט חזק תו"/>
    <w:qFormat/>
    <w:rPr>
      <w:b/>
      <w:bCs/>
      <w:i/>
      <w:iCs/>
      <w:color w:val="4F81BD"/>
      <w:sz w:val="24"/>
      <w:szCs w:val="24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sz w:val="24"/>
      <w:szCs w:val="24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3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David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/>
    <w:rPr>
      <w:rFonts w:ascii="Cambria" w:hAnsi="Cambria" w:eastAsia="Times New Roman" w:cs="Times New Roman"/>
      <w:i/>
      <w:iCs/>
      <w:color w:val="4F81BD"/>
      <w:spacing w:val="15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Style14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480" w:after="0"/>
      <w:ind w:hanging="0" w:start="0"/>
      <w:outlineLvl w:val="9"/>
    </w:pPr>
    <w:rPr>
      <w:rFonts w:ascii="Cambria" w:hAnsi="Cambria" w:eastAsia="Times New Roman" w:cs="Times New Roman"/>
      <w:color w:val="365F91"/>
      <w:kern w:val="0"/>
      <w:sz w:val="28"/>
      <w:szCs w:val="28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Style15">
    <w:name w:val="ללא מרווח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ascii="David" w:hAnsi="David" w:eastAsia="David" w:cs="David"/>
      <w:b/>
      <w:bCs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6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7">
    <w:name w:val="ציטוט"/>
    <w:basedOn w:val="Normal"/>
    <w:next w:val="Normal"/>
    <w:qFormat/>
    <w:pPr/>
    <w:rPr>
      <w:i/>
      <w:iCs/>
      <w:color w:val="000000"/>
    </w:rPr>
  </w:style>
  <w:style w:type="paragraph" w:styleId="Style18">
    <w:name w:val="ציטוט חזק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2." TargetMode="External"/><Relationship Id="rId5" Type="http://schemas.openxmlformats.org/officeDocument/2006/relationships/hyperlink" Target="http://www.nevo.co.il/law/70301/144b" TargetMode="External"/><Relationship Id="rId6" Type="http://schemas.openxmlformats.org/officeDocument/2006/relationships/hyperlink" Target="http://www.nevo.co.il/law/70301/448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499.a.1.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43" TargetMode="External"/><Relationship Id="rId11" Type="http://schemas.openxmlformats.org/officeDocument/2006/relationships/hyperlink" Target="http://www.nevo.co.il/law/5227/48" TargetMode="External"/><Relationship Id="rId12" Type="http://schemas.openxmlformats.org/officeDocument/2006/relationships/hyperlink" Target="http://www.nevo.co.il/law/74274" TargetMode="External"/><Relationship Id="rId13" Type="http://schemas.openxmlformats.org/officeDocument/2006/relationships/hyperlink" Target="http://www.nevo.co.il/law/74274/303.b." TargetMode="External"/><Relationship Id="rId14" Type="http://schemas.openxmlformats.org/officeDocument/2006/relationships/hyperlink" Target="http://www.nevo.co.il/law/70301/144.b2.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4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99.a.1.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5227/43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74274/303.b." TargetMode="External"/><Relationship Id="rId29" Type="http://schemas.openxmlformats.org/officeDocument/2006/relationships/hyperlink" Target="http://www.nevo.co.il/law/74274" TargetMode="External"/><Relationship Id="rId30" Type="http://schemas.openxmlformats.org/officeDocument/2006/relationships/hyperlink" Target="http://www.nevo.co.il/law/5227/48" TargetMode="External"/><Relationship Id="rId31" Type="http://schemas.openxmlformats.org/officeDocument/2006/relationships/hyperlink" Target="http://www.nevo.co.il/law/5227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2014-10-26T12:17:00Z</dcterms:created>
  <dc:creator> </dc:creator>
  <dc:description/>
  <cp:keywords/>
  <dc:language>en-IL</dc:language>
  <cp:lastModifiedBy>orly</cp:lastModifiedBy>
  <cp:lastPrinted>2014-10-21T12:49:00Z</cp:lastPrinted>
  <dcterms:modified xsi:type="dcterms:W3CDTF">2014-10-26T12:38:00Z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בן דוד בן שמחון;אביתר בן יעקב שמש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20141021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שאהר אטרש</vt:lpwstr>
  </property>
  <property fmtid="{D5CDD505-2E9C-101B-9397-08002B2CF9AE}" pid="13" name="LAWLISTTMP1">
    <vt:lpwstr>70301/144.b2.;029;144b;448;499.a.1.;452</vt:lpwstr>
  </property>
  <property fmtid="{D5CDD505-2E9C-101B-9397-08002B2CF9AE}" pid="14" name="LAWLISTTMP2">
    <vt:lpwstr>5227/043;048</vt:lpwstr>
  </property>
  <property fmtid="{D5CDD505-2E9C-101B-9397-08002B2CF9AE}" pid="15" name="LAWLISTTMP3">
    <vt:lpwstr>74274/303.b.</vt:lpwstr>
  </property>
  <property fmtid="{D5CDD505-2E9C-101B-9397-08002B2CF9AE}" pid="16" name="LAWYER">
    <vt:lpwstr>סופי גרניט;דורון נוי ;יהלי שפרלינג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47667</vt:lpwstr>
  </property>
  <property fmtid="{D5CDD505-2E9C-101B-9397-08002B2CF9AE}" pid="24" name="NEWPARTB">
    <vt:lpwstr>04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</vt:lpwstr>
  </property>
  <property fmtid="{D5CDD505-2E9C-101B-9397-08002B2CF9AE}" pid="38" name="NOSE21">
    <vt:lpwstr>הסדר טיעון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461</vt:lpwstr>
  </property>
  <property fmtid="{D5CDD505-2E9C-101B-9397-08002B2CF9AE}" pid="49" name="NOSE31">
    <vt:lpwstr>אישורו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3608</vt:lpwstr>
  </property>
  <property fmtid="{D5CDD505-2E9C-101B-9397-08002B2CF9AE}" pid="60" name="PADIDATE">
    <vt:lpwstr>20141026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390120141021</vt:lpwstr>
  </property>
  <property fmtid="{D5CDD505-2E9C-101B-9397-08002B2CF9AE}" pid="70" name="TYPE_N_DATE">
    <vt:lpwstr>39020141021</vt:lpwstr>
  </property>
  <property fmtid="{D5CDD505-2E9C-101B-9397-08002B2CF9AE}" pid="71" name="VOLUME">
    <vt:lpwstr/>
  </property>
  <property fmtid="{D5CDD505-2E9C-101B-9397-08002B2CF9AE}" pid="72" name="WORDNUMPAGES">
    <vt:lpwstr>5</vt:lpwstr>
  </property>
</Properties>
</file>