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5"/>
        <w:gridCol w:w="2410"/>
      </w:tblGrid>
      <w:tr>
        <w:trPr>
          <w:trHeight w:val="704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סגן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הנשיא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609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47686-01-15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מומד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עסב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59030-03-15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עסב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  <w:tc>
          <w:tcPr>
            <w:tcW w:w="2410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3" w:name="FirstLawyer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עסב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פרידמן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עסב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חלאילה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lang w:val="en-US" w:eastAsia="en-US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FrankRuehl" w:hAnsi="FrankRuehl"/>
                <w:sz w:val="28"/>
                <w:szCs w:val="28"/>
                <w:lang w:val="en-US" w:eastAsia="en-US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lang w:val="en-US" w:eastAsia="en-US"/>
              </w:rPr>
              <w:t xml:space="preserve">: </w:t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402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lang w:val="en-US" w:eastAsia="en-US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lang w:val="en-US" w:eastAsia="en-US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Ari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Arial1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48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בהכרעת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20.3.16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הורשעו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הודאתם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בשנית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כדלהלן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: </w:t>
      </w:r>
      <w:r>
        <w:rPr>
          <w:rFonts w:ascii="Calibri" w:hAnsi="Calibri" w:cs="Miriam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cs="Miriam" w:ascii="Calibri" w:hAnsi="Calibri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– </w:t>
      </w:r>
      <w:r>
        <w:rPr>
          <w:rFonts w:ascii="Calibri" w:hAnsi="Calibri" w:cs="Miriam"/>
          <w:rtl w:val="true"/>
          <w:lang w:val="en-US" w:eastAsia="en-US"/>
        </w:rPr>
        <w:t>באישום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lang w:val="en-US" w:eastAsia="en-US"/>
          </w:rPr>
          <w:t>402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hyperlink r:id="rId10"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</w:t>
      </w:r>
      <w:hyperlink r:id="rId1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התשל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ז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r>
        <w:rPr>
          <w:rFonts w:cs="FrankRuehl" w:ascii="Calibri" w:hAnsi="Calibri"/>
          <w:sz w:val="28"/>
          <w:szCs w:val="28"/>
          <w:lang w:val="en-US" w:eastAsia="en-US"/>
        </w:rPr>
        <w:t>1977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החוק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Calibri" w:hAnsi="Calibri" w:cs="Miriam"/>
          <w:rtl w:val="true"/>
          <w:lang w:val="en-US" w:eastAsia="en-US"/>
        </w:rPr>
        <w:t>ובאישום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השלישי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lang w:val="en-US" w:eastAsia="en-US"/>
          </w:rPr>
          <w:t>192</w:t>
        </w:r>
      </w:hyperlink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; </w:t>
      </w:r>
      <w:r>
        <w:rPr>
          <w:rFonts w:ascii="Calibri" w:hAnsi="Calibri" w:cs="Miriam"/>
          <w:rtl w:val="true"/>
          <w:lang w:val="en-US" w:eastAsia="en-US"/>
        </w:rPr>
        <w:t>ונאשם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cs="Miriam" w:ascii="Calibri" w:hAnsi="Calibri"/>
          <w:lang w:val="en-US" w:eastAsia="en-US"/>
        </w:rPr>
        <w:t>2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– </w:t>
      </w:r>
      <w:r>
        <w:rPr>
          <w:rFonts w:ascii="Calibri" w:hAnsi="Calibri" w:cs="Miriam"/>
          <w:rtl w:val="true"/>
          <w:lang w:val="en-US" w:eastAsia="en-US"/>
        </w:rPr>
        <w:t>באישום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השני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וירי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lang w:val="en-US" w:eastAsia="en-US"/>
          </w:rPr>
          <w:t>402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hyperlink r:id="rId14"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hyperlink r:id="rId15"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lang w:val="en-US" w:eastAsia="en-US"/>
          </w:rPr>
          <w:t>340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הנ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הִנם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אחים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יליד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23.9.85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והשני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יליד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30.10.91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 w:before="0" w:after="160"/>
        <w:ind w:end="0"/>
        <w:jc w:val="both"/>
        <w:rPr>
          <w:rFonts w:ascii="Calibri" w:hAnsi="Calibri" w:cs="FrankRuehl"/>
          <w:sz w:val="28"/>
          <w:szCs w:val="28"/>
          <w:lang w:val="en-US" w:eastAsia="en-US"/>
        </w:rPr>
      </w:pPr>
      <w:r>
        <w:rPr>
          <w:rFonts w:cs="FrankRuehl" w:ascii="Calibri" w:hAnsi="Calibri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הודאתם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ניתנה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בגדרו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שהגיעו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אליו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בתום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פרשת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ראיות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התביעה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הוגש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מתוקן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בשנית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והשניים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הודו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שיוחסו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להם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בגדרו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ההסדר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הוסכם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תעתור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חמש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הכוללת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הפעלת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תשעה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ומאסר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חמישה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בצד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ופיצוי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למשפחת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המתלוננים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2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וכל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צד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חופשי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בטיעוניו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המוסכם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בהודעה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הטיעון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התחייבו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הצדדים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בטיעונים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יחרגו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המתוקן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יסתרו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אותן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יוסיפו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עליהן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הוסכם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להזמין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נפגע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המתלוננים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שבאישום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יגיש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הצהרת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נפגע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 w:before="0" w:after="160"/>
        <w:ind w:end="0"/>
        <w:jc w:val="both"/>
        <w:rPr>
          <w:rFonts w:ascii="Calibri" w:hAnsi="Calibri" w:cs="FrankRuehl"/>
          <w:sz w:val="28"/>
          <w:szCs w:val="28"/>
          <w:lang w:val="en-US" w:eastAsia="en-US"/>
        </w:rPr>
      </w:pPr>
      <w:r>
        <w:rPr>
          <w:rFonts w:cs="FrankRuehl" w:ascii="Calibri" w:hAnsi="Calibri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הבהירה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הגיעה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להסדר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קשיים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ראייתיים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וציינה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בעתירתה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המוסכם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עשתה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חסד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רב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 w:before="0" w:after="160"/>
        <w:ind w:end="0"/>
        <w:jc w:val="both"/>
        <w:rPr>
          <w:rFonts w:ascii="Calibri" w:hAnsi="Calibri" w:cs="FrankRuehl"/>
          <w:sz w:val="28"/>
          <w:szCs w:val="28"/>
          <w:lang w:val="en-US" w:eastAsia="en-US"/>
        </w:rPr>
      </w:pPr>
      <w:r>
        <w:rPr>
          <w:rFonts w:cs="FrankRuehl" w:ascii="Calibri" w:hAnsi="Calibri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  <w:lang w:val="en-US" w:eastAsia="en-US"/>
        </w:rPr>
        <w:t>2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האישום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הראשון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העומדות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ביסוד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והרשעתו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בסמוך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ליום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28.12.14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גמלה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בלִבו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שניים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שזהותם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ידועה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האחרים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לבצע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במחנה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הפליטים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שועפט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הקשר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ולשם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קידומו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הצטיידו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בבגדים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כהים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כפפות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כיסוי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וכלֵי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במועד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בשעה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5:00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לפנות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בוקר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הגיע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ביתם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משפחת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המתלוננים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באותה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שהו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אבי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רעייתו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בנם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ובתם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הִנם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חרשים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ואילמים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וסובלים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ממוגבלויות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נוספות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נכנסו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כשהם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רעולי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פנים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שהמתלונן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פתח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דלת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הבית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לצאת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לעבודה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נכנסו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לדירה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כשהם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מכוונים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לעברו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אקדחים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ורובה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מהם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אמר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למתלונן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ידבר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ישים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בראש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מהקבוצה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פנה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חדר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השינה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שבו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שהתה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באותה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העת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ניגש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מיטתה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וכיוון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לעברה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אקדח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הצטרף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אליו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מחבריו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לחפש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תכשיטים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כשהוא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מרוקן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תכולת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הארון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ושובר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אותו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לקחו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בנו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ונעלו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אותם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בחדר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השינה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בהמשך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הובילו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לסלון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הבית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האירוע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סתמו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פיהם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בנייר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דבק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ואזקו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ידיהם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הזוג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ובנם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אזיקונים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עריכת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החיפוש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נטלו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מבני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מכשיר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הטלפון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הנייד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מזומנים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בסכום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3,000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cs="Times New Roman"/>
          <w:sz w:val="28"/>
          <w:szCs w:val="28"/>
          <w:rtl w:val="true"/>
          <w:lang w:val="en-US" w:eastAsia="en-US"/>
        </w:rPr>
        <w:t>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תכשיטים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מזהב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לרבות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הטבעת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אצבעה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בתום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יצאו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מהדירה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ונעלו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הבית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יושביו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האמורים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8"/>
          <w:szCs w:val="28"/>
          <w:lang w:val="en-US" w:eastAsia="en-US"/>
        </w:rPr>
        <w:t>1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lang w:val="en-US" w:eastAsia="en-US"/>
          </w:rPr>
          <w:t>402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FrankRuehl"/>
          <w:sz w:val="28"/>
          <w:szCs w:val="28"/>
          <w:lang w:val="en-US" w:eastAsia="he-IL"/>
        </w:rPr>
      </w:pPr>
      <w:r>
        <w:rPr>
          <w:rFonts w:cs="FrankRuehl" w:ascii="Calibri" w:hAnsi="Calibri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ascii="Calibri" w:hAnsi="Calibri" w:cs="Miriam"/>
          <w:rtl w:val="true"/>
          <w:lang w:val="en-US" w:eastAsia="en-US"/>
        </w:rPr>
        <w:t>באישום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השלישי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בלבד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איומים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שבוצעה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12.1.15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שפט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קילל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רוזנברג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להירגע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>: "</w:t>
      </w:r>
      <w:r>
        <w:rPr>
          <w:rFonts w:ascii="Calibri" w:hAnsi="Calibri" w:cs="Miriam"/>
          <w:rtl w:val="true"/>
          <w:lang w:val="en-US" w:eastAsia="en-US"/>
        </w:rPr>
        <w:t>אתה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לא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מכיר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אותי</w:t>
      </w:r>
      <w:r>
        <w:rPr>
          <w:rFonts w:cs="Miriam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Miriam"/>
          <w:rtl w:val="true"/>
          <w:lang w:val="en-US" w:eastAsia="en-US"/>
        </w:rPr>
        <w:t>חכה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שניפגש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בחוץ</w:t>
      </w:r>
      <w:r>
        <w:rPr>
          <w:rFonts w:cs="Miriam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Miriam"/>
          <w:rtl w:val="true"/>
          <w:lang w:val="en-US" w:eastAsia="en-US"/>
        </w:rPr>
        <w:t>אזיין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אותך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הוסיף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שידיו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אזוקות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ascii="Calibri" w:hAnsi="Calibri" w:cs="Miriam"/>
          <w:rtl w:val="true"/>
          <w:lang w:val="en-US" w:eastAsia="en-US"/>
        </w:rPr>
        <w:t>היה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מזיין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אותו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בעקבות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נכנס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אלקובי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גידף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להתיישב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נצמד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בערבית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וניסה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השתלט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במילים</w:t>
      </w:r>
      <w:r>
        <w:rPr>
          <w:rFonts w:cs="FrankRuehl"/>
          <w:sz w:val="28"/>
          <w:szCs w:val="28"/>
          <w:rtl w:val="true"/>
          <w:lang w:val="en-US" w:eastAsia="he-IL"/>
        </w:rPr>
        <w:t>: "</w:t>
      </w:r>
      <w:r>
        <w:rPr>
          <w:rFonts w:ascii="Calibri" w:hAnsi="Calibri" w:cs="Miriam"/>
          <w:rtl w:val="true"/>
          <w:lang w:val="en-US" w:eastAsia="en-US"/>
        </w:rPr>
        <w:t>חכה</w:t>
      </w:r>
      <w:r>
        <w:rPr>
          <w:rFonts w:cs="Miriam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Miriam"/>
          <w:rtl w:val="true"/>
          <w:lang w:val="en-US" w:eastAsia="en-US"/>
        </w:rPr>
        <w:t>חכה</w:t>
      </w:r>
      <w:r>
        <w:rPr>
          <w:rFonts w:cs="Miriam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Miriam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לך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מושג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עם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מי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יש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לך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עסק</w:t>
      </w:r>
      <w:r>
        <w:rPr>
          <w:rFonts w:cs="Miriam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Miriam"/>
          <w:rtl w:val="true"/>
          <w:lang w:val="en-US" w:eastAsia="en-US"/>
        </w:rPr>
        <w:t>תשאל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עליי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ותדע</w:t>
      </w:r>
      <w:r>
        <w:rPr>
          <w:rFonts w:cs="Miriam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Miriam"/>
          <w:rtl w:val="true"/>
          <w:lang w:val="en-US" w:eastAsia="en-US"/>
        </w:rPr>
        <w:t>כשאני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אצא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מפה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אראה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לך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מה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הושיב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הכסא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החקירות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והתיישב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הרצפה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בהמשך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מתן</w:t>
      </w:r>
      <w:r>
        <w:rPr>
          <w:rFonts w:cs="FrankRuehl"/>
          <w:sz w:val="28"/>
          <w:szCs w:val="28"/>
          <w:rtl w:val="true"/>
          <w:lang w:val="en-US" w:eastAsia="he-IL"/>
        </w:rPr>
        <w:t>: "</w:t>
      </w:r>
      <w:r>
        <w:rPr>
          <w:rFonts w:ascii="Calibri" w:hAnsi="Calibri" w:cs="Miriam"/>
          <w:rtl w:val="true"/>
          <w:lang w:val="en-US" w:eastAsia="en-US"/>
        </w:rPr>
        <w:t>תעוף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לי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מהעיניים</w:t>
      </w:r>
      <w:r>
        <w:rPr>
          <w:rFonts w:cs="Miriam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Miriam"/>
          <w:rtl w:val="true"/>
          <w:lang w:val="en-US" w:eastAsia="en-US"/>
        </w:rPr>
        <w:t>אני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אשחט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אותך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נכנס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לחדר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בהתנהגותו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דוחף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השוטרים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ומקלל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אותם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192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לאישום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בלבד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28.12.14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שזהותם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במחנה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הפליטים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שועפט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קידומו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בבגדים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כהים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כפפות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כיסוי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28.12.14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6:00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בבוקר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דהיינו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מכולת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במחנה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פליטים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שועפט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שבבעלות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'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נכנסו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המכולת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רעולי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כפפות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ניגש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>,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אוחז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מקלע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עוזי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להוציא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מהקופה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המכולת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וכיוון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אקדח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ולאחֵר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ארנקו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סחורה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מהמכולת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מכשיר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הטלפון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הנייד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וסכום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4,000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₪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במזומן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בבואם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לעזוב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ascii="Calibri" w:hAnsi="Calibri" w:cs="Miriam"/>
          <w:rtl w:val="true"/>
          <w:lang w:val="en-US" w:eastAsia="en-US"/>
        </w:rPr>
        <w:t>המתינו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להזדמנות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זו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כבר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זמן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רב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מהקבוצה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המקלע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עוזי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הזהיר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ascii="Calibri" w:hAnsi="Calibri" w:cs="Miriam"/>
          <w:rtl w:val="true"/>
          <w:lang w:val="en-US" w:eastAsia="en-US"/>
        </w:rPr>
        <w:t>הוא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יזיין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אמא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שלו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באוויר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צרור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הימלטות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מהזירה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בחבורה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hyperlink r:id="rId21"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hyperlink r:id="rId22"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340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בפרשת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גזר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הוגש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תסקיר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של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נפגעי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באירוע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הנדון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באישום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Miriam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פרט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לאֵם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סובלים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ממוגבלויות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בדרגות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מטופלים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בילדים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צרכים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מיוחדים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סובלת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מפיגור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חרשות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ואילמות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ונתונה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במצב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סיעודי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לחלוטין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סובל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מחרשות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ואילמות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יכולות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קוגניטיביות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מוגבלות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נפגעי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תוארו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בהרחבה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הטראומטי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המשפחה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הסובלים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הייחודי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מנזקים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בעקבות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שחוו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תיארה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באוזני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עורכת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הטראומה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שחוו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המשפחה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והדגישה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הפגינו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בהתנהגותם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ברוטאליות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אכזרית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אטימות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והיעדר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ורחמים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למצבם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ציינו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פחד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חשש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מפגיעה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בחייהם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עורכת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הנזק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המשותף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התערערות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תחושת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הביטחון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ובסביבתם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לנזק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הכלכלי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המשמעותי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סוציו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אקונומי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המתפרנסת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מעבודת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בניקיון</w:t>
      </w:r>
      <w:r>
        <w:rPr>
          <w:rFonts w:cs="FrankRuehl"/>
          <w:sz w:val="28"/>
          <w:szCs w:val="28"/>
          <w:rtl w:val="true"/>
          <w:lang w:val="en-US" w:eastAsia="he-IL"/>
        </w:rPr>
        <w:t>,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ונתמכת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מקצבאות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המוסד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לביטוח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למימון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צרכיהם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הייחודיים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הילדים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הזוג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קיבלו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קצבת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ילדיהם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שהוחזקה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במזומן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נגנב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התכשיטים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המועטים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שרכשו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משמעותי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מרכושם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המוערך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שקלים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התווסף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להערכת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עורכת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התסקיר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נזק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עקיף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במצבם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הרגשי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והנפשי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הזוג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שהעצים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הנכויות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והמוגבלויות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כמפורט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בהרחבה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נזק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שסובלים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מתסמינים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המאפיינים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פוסט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טראומה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המליצה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עורכת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נפגעי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רכיבי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יחויב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פיצויים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שיבטאו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ההכרה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ובנזקים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שגרם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שיאפשר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לפעול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לשיקום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he-IL"/>
        </w:rPr>
        <w:t>6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יליד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1985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לתינוקת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ילדים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הסובלת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ממצוקה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כלכלית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גדל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במחנה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הפליטים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שועפט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רכישת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השכלה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מזדמנות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התדרדר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לעבריינות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נותק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משפחתו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רעייתו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פלילי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מכביד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בעיקר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ורכוש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שעליהן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14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הליכים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נפרדים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מהיותו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1998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וביניהן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בנתיב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תחבורה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גניבת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במזיד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אגרופן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גניבה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הצתת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ולפשע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היזק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לרכוש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בזדון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לצריכה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עצמית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ובין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השאר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2001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Cs w:val="28"/>
          <w:lang w:val="en-US" w:eastAsia="he-IL"/>
        </w:rPr>
        <w:t>18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2003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2004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Cs w:val="28"/>
          <w:lang w:val="en-US" w:eastAsia="he-IL"/>
        </w:rPr>
        <w:t>30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תלויים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ועומדים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וחמישה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שהוטלו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כחצי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17.6.14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49585-05-13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ברמלה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he-IL"/>
        </w:rPr>
        <w:t>7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יליד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30.10.91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בחברת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הגיחון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אִמו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הסובלת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מבעיות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בריאותיות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ולאחרונה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התארס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פלילי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מאז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2007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שעליהן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בחמישה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נפרדים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וביניהן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פציעה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תקיפה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היזק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בזדון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לרכוש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השתתפות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בהתפרעות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אגרופן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סדום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שבוצעה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קטין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ריצה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18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והשנייה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he-IL"/>
        </w:rPr>
        <w:t>8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Miriam"/>
          <w:rtl w:val="true"/>
          <w:lang w:val="en-US" w:eastAsia="he-IL"/>
        </w:rPr>
        <w:t>ב</w:t>
      </w:r>
      <w:r>
        <w:rPr>
          <w:rFonts w:cs="Miriam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בטיעוניה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באשר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גרסה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לריצוי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ראייתיים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עתרה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כוללת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הפעלת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המותנים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ופיצוי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משמעותי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למתלוננים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</w:rPr>
      </w:pPr>
      <w:r>
        <w:rPr>
          <w:rFonts w:cs="Times New Roman"/>
          <w:sz w:val="28"/>
          <w:szCs w:val="28"/>
          <w:rtl w:val="true"/>
          <w:lang w:val="en-US" w:eastAsia="he-IL"/>
        </w:rPr>
        <w:t xml:space="preserve"> 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בעניינו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בחבורה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עתרה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להשתת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וחצי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17.3.15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תנוכה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18.5.1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17.7.1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54647-05-12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). 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he-IL"/>
        </w:rPr>
        <w:t>9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Miriam"/>
          <w:rtl w:val="true"/>
          <w:lang w:val="en-US" w:eastAsia="he-IL"/>
        </w:rPr>
        <w:t>ב</w:t>
      </w:r>
      <w:r>
        <w:rPr>
          <w:rFonts w:cs="Miriam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מרשו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להחמיר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בעונשו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למצות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עִמו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שניתנה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מאוחר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יחסית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והמשפחתיות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שפורטו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הנתק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רעייתו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משפחתו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השאר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15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בתנאים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המכבידים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להשמיע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והצטרף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Times New Roman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10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Miriam"/>
          <w:rtl w:val="true"/>
          <w:lang w:val="en-US" w:eastAsia="he-IL"/>
        </w:rPr>
        <w:t>ב</w:t>
      </w:r>
      <w:r>
        <w:rPr>
          <w:rFonts w:cs="Miriam"/>
          <w:rtl w:val="true"/>
          <w:lang w:val="en-US" w:eastAsia="he-IL"/>
        </w:rPr>
        <w:t>"</w:t>
      </w:r>
      <w:r>
        <w:rPr>
          <w:rFonts w:cs="Miriam"/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להגיע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טיעון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העליון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בדומה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שהגיע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עותרת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כוללת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הפעלת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וחמישה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מבקשת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דהיינו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וחצי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ובפרט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יותר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ועברו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הפלילי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מכביד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יותר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להחמיר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מרשו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אמנם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לחובת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בוצעה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נוספת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הסנגור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בקשיים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הראייתיים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שעמדו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ההליכים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והמשפחתיות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ובין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אירוסיו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ממושכת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בתנאים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מכבידים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מדיניות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הנוהגת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מכלול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עתרה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לעמוד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תעלה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שנתיים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להחמיר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בדינו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he-IL"/>
        </w:rPr>
        <w:t>11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לתיקון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113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תחילה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נקבע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לעקרון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ההלימה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וביישומו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מביא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החברתי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שנפגע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מדיניות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הנהוגה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בהמשך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התייחסות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שאינן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אפשרות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לסטות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חריגות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מגיעים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צדדים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הכולל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הסכמה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תחילה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וקביעת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נעשית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בזיקה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en-US"/>
        </w:rPr>
        <w:t>12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דומות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בשטח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בנוי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נטל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אחרים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פעיל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קרבנות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ובזירות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שונות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בסמיכות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ובקרבת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מהנאשמים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בזיקה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לעובדות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הספציפי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חברתיים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לעבירת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השוד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המזוין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בחבורה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שגלומים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מוגנים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: </w:t>
      </w:r>
      <w:r>
        <w:rPr>
          <w:rFonts w:cs="Miriam"/>
          <w:rtl w:val="true"/>
          <w:lang w:val="en-US" w:eastAsia="he-IL"/>
        </w:rPr>
        <w:t>האחד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he-IL"/>
        </w:rPr>
        <w:t>והשני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גופו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חירותו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וכבודו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המחוקק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שפוגע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ברכושו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ברכוש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נעשית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באלימות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מוגבר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החברתיים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המצטרפים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מדרג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המחוקק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מחמירות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המעמידות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המֵרבי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ובכללן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העבריין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במכשיר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לסכן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לעבירת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החזקת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המקסימאלי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שנקצב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בצִדה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נועדה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ושלמות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גופו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פוטנציאל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הנשקף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מהשימוש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שהִנו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קטלני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מטבע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ברייתו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מכאן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אפנה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לדיון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בשאלת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בנפרד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בזיקה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הספציפיות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ולנסיבותיו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מהנאשמים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en-US"/>
        </w:rPr>
        <w:t>13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  <w:t xml:space="preserve"> </w:t>
      </w:r>
      <w:r>
        <w:rPr>
          <w:rFonts w:cs="Miriam"/>
          <w:rtl w:val="true"/>
          <w:lang w:val="en-US" w:eastAsia="he-IL"/>
        </w:rPr>
        <w:t>באשר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והחזקת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הרשעתו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שוטרים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שבוצעה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בתכוף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למעצרו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כשבועיים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בקביעת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he-IL"/>
        </w:rPr>
        <w:t>לעבירות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הנדונות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המוגנים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ובמדיניות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הנהוגה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ילדיהם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הסובלים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מנכויות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לרבות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ואילמות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יצוין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הדגיש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בהטלת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מחמירים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ומרתיעים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מבצעי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הבוחרים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לקורבנות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חסרי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שבחברה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ביניהם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קשישים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מוגבלויות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שהללו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יהיו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ויתקשו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להתנגד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2163/05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אלייב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נ</w:t>
      </w:r>
      <w:r>
        <w:rPr>
          <w:rFonts w:cs="Miriam" w:ascii="Franklin Gothic Medium" w:hAnsi="Franklin Gothic Medium"/>
          <w:rtl w:val="true"/>
          <w:lang w:val="en-US" w:eastAsia="en-US"/>
        </w:rPr>
        <w:t xml:space="preserve">' </w:t>
      </w:r>
      <w:r>
        <w:rPr>
          <w:rFonts w:ascii="Franklin Gothic Medium" w:hAnsi="Franklin Gothic Medium" w:cs="Miriam"/>
          <w:rtl w:val="true"/>
          <w:lang w:val="en-US" w:eastAsia="en-US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Cs w:val="28"/>
          <w:lang w:val="en-US" w:eastAsia="en-US"/>
        </w:rPr>
        <w:t>12.12.05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5213/06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וונדמו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נ</w:t>
      </w:r>
      <w:r>
        <w:rPr>
          <w:rFonts w:cs="Miriam" w:ascii="Franklin Gothic Medium" w:hAnsi="Franklin Gothic Medium"/>
          <w:rtl w:val="true"/>
          <w:lang w:val="en-US" w:eastAsia="en-US"/>
        </w:rPr>
        <w:t xml:space="preserve">' </w:t>
      </w:r>
      <w:r>
        <w:rPr>
          <w:rFonts w:ascii="Franklin Gothic Medium" w:hAnsi="Franklin Gothic Medium" w:cs="Miriam"/>
          <w:rtl w:val="true"/>
          <w:lang w:val="en-US" w:eastAsia="en-US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Cs w:val="28"/>
          <w:lang w:val="en-US" w:eastAsia="en-US"/>
        </w:rPr>
        <w:t>9.5.07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6202/10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נ</w:t>
      </w:r>
      <w:r>
        <w:rPr>
          <w:rFonts w:cs="Miriam" w:ascii="Franklin Gothic Medium" w:hAnsi="Franklin Gothic Medium"/>
          <w:rtl w:val="true"/>
          <w:lang w:val="en-US" w:eastAsia="en-US"/>
        </w:rPr>
        <w:t xml:space="preserve">' </w:t>
      </w:r>
      <w:r>
        <w:rPr>
          <w:rFonts w:ascii="Franklin Gothic Medium" w:hAnsi="Franklin Gothic Medium" w:cs="Miriam"/>
          <w:rtl w:val="true"/>
          <w:lang w:val="en-US" w:eastAsia="en-US"/>
        </w:rPr>
        <w:t>ישראילוב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Cs w:val="28"/>
          <w:lang w:val="en-US" w:eastAsia="en-US"/>
        </w:rPr>
        <w:t>15.3.11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)).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הדגישה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הפסיקה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לפגיעות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הגופניות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והרכושיות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חסרי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Cs w:val="28"/>
          <w:rtl w:val="true"/>
          <w:lang w:val="en-US" w:eastAsia="en-US"/>
        </w:rPr>
        <w:t>/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קשישים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בפרט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מסבות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בביטחונם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הקורבנות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קבוצות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שלמות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מבטחים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יוכלו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להתקיים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בכבוד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חשש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מפגיעות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בגופם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וברכושם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5931/11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דוד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עבדולייב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נ</w:t>
      </w:r>
      <w:r>
        <w:rPr>
          <w:rFonts w:cs="Miriam" w:ascii="Franklin Gothic Medium" w:hAnsi="Franklin Gothic Medium"/>
          <w:rtl w:val="true"/>
          <w:lang w:val="en-US" w:eastAsia="en-US"/>
        </w:rPr>
        <w:t xml:space="preserve">' </w:t>
      </w:r>
      <w:r>
        <w:rPr>
          <w:rFonts w:ascii="Franklin Gothic Medium" w:hAnsi="Franklin Gothic Medium" w:cs="Miriam"/>
          <w:rtl w:val="true"/>
          <w:lang w:val="en-US" w:eastAsia="en-US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Cs w:val="28"/>
          <w:lang w:val="en-US" w:eastAsia="en-US"/>
        </w:rPr>
        <w:t>22.10.12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)).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קביעת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והחזקת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לבחון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השאר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מופלגת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מתבטאת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ובראשונה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תכנון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הצטיידות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אקדחים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ורובה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היבט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מחמיר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כוּונו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רעייתו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השמעת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בראשו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לראות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הפיזית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והאכזרית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שננקטה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קרבנות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בחדר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סתמו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פיותיהם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רעייתו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דבק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ואזקו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ידיהם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באזיקים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להוסיף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מיהות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ילדיהם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הבגירים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הסובלים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מנכויות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וממוגבלויות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השייכים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לקבוצה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מוחלשת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באוכלוסייה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במשפחה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הנתמכת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מקצבאות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המוסד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לביטוח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לאומי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ומעבודת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בניקיון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שבעתיים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תוצאת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הגזילה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גניבת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רכושם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המסתכם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עשרות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שקלים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כספי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קצבאות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המוסד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לביטוח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לאומי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שקיבלו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תכשיטי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הזהב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לרבות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טבעת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שהוסרה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מאצבעה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לפגיעות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הפיזיות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הוסבו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למתלוננים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ולילדיהם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פגיעות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נפשיות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הטראומה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שחוו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כמפורט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שהיטיבה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לציין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באוזני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עורכת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התסקיר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וחבריו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הפגינו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ברוטאליות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אכזרית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אטימות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והיעדר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לנפגעי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ההלימה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שבענישה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שתוארו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וברמת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הנהוגה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במקרים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דומים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סבורני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כנטען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למעלה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מכך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האיומים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השלישי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נגזר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השמיע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חוזרים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ונשנים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שוטרים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הפגין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מורא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החוק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וגורמי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אכיפת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החוק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ממנו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והלאה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מדיניות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הנהוגה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במקרים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דומים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ניכר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קצרה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בודדים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ממש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בגזירת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מחד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גיסא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לזקוף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לחובתו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הפלילי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המכביד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בשורה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ארוכה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כישלון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ההרתעה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בעונשי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שהוטלו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פעם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שתלויים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נגדו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שהוטלו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כחצי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מאידך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גיסא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לקולא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ניתנה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בשלב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מתקדם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ההליך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המשפטי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פרשת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התביעה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שפורטו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כוחו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ממושכת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שתנאיו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חסד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עשתה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משהגיעה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עִמו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להסדר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טיעון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תעתור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כוללת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ושלושה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העיקרון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ככלל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לכבד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הסדרי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טיעון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חריגים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ויוצאי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דופן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להסדר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ראייתיים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אחרוג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עותרת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לפיכך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הכוללת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בצד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וחיוב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FrankRuehl"/>
          <w:sz w:val="28"/>
          <w:szCs w:val="28"/>
          <w:lang w:val="en-US" w:eastAsia="en-US"/>
        </w:rPr>
        <w:t>14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  <w:tab/>
      </w:r>
      <w:r>
        <w:rPr>
          <w:rFonts w:cs="Miriam"/>
          <w:rtl w:val="true"/>
          <w:lang w:val="en-US" w:eastAsia="he-IL"/>
        </w:rPr>
        <w:t>מכאן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להבניית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בעניינו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ולקביעת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בקביעת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FrankRuehl" w:ascii="Calibri" w:hAnsi="Calibri"/>
          <w:sz w:val="28"/>
          <w:szCs w:val="28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וירי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המוגנים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וברמת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הנהוגה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מכולת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הבעלים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בתוכה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תכנון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והצטיידות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בכפפות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ובכיסויי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וחבריו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נכנסו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למכולת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כשהם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רעולי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ואוחזים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שאחז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מקלע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עוזי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דרש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להוציא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מהקופה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שאחֵר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כיוון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אקדח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ולאחֵר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ארנקו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והחבורה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גנבה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מהמכולת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סחורה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טלפון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נייד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וסכום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4,000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₪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במזומנים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עזיבתם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החנות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שאחז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עוזי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אחריהם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צרור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באוויר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מצויים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סחורות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ומזומנים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תכנון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שימוש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הנזק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שנגרם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הנזק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הכלכלי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בלבד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שניטלו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מהחנות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סחורות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ומזומנים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בעיקר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הטראומה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שהוסבה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למתלונן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הופנה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שכמוהו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ברצח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להכביר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הסכנות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האפשריות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הגלומות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עסק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נפסק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זורעים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בציבור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מטילים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באֵי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המקום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ומעמידים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העסק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תמימים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בנפש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גופנית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דומה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מזוין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נשיאת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וירי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בשטח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בנוי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כעתירת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בגזירת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לזקוף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הפלילי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כישלון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ההרתעה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בעונשים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שהוטלו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לקולא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בשלב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מאוחר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יחסית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פרשת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התביעה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שפורטו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כוחו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לרבות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אירוסיו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לאחרונה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הממושכת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שתנאיו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מכבידים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אחדות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עתרה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ושלושה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שמעשיו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מצויים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גבוה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עתרה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ארבע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וחצי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וכאשר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לחובתו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מכביד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השניים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להפעלה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סבורני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להסתפק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התחתון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ארבע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15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יסוד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בהסדר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הטיעון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ובמכלול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טיעוני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דינם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כדלהלן</w:t>
      </w:r>
      <w:r>
        <w:rPr>
          <w:rFonts w:cs="FrankRuehl"/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מס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'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ושלושה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להפעלת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שהוטלו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49585-05-13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ברמלה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תשעה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יופעלו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בחופף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ובחופף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המוטל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18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402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לשמונה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144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והמתלוננת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בסכום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50.000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val="en-US" w:eastAsia="en-US"/>
        </w:rPr>
        <w:t>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ובסך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סכום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100,000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val="en-US" w:eastAsia="en-US"/>
        </w:rPr>
        <w:t>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לשניהם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יוער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סכומי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מהשניים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כוללים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ילדיהם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המוגבלויות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הפיצויים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ישולמו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יאוחר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1.11.16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ארבע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מתקופת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תנוכה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17.3.15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17.5.15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17.7.15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נוכתה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18.5.15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כחודשיים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ריצה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15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מהכלא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402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en-US"/>
          </w:rPr>
          <w:t>144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בסכום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20,000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val="en-US" w:eastAsia="en-US"/>
        </w:rPr>
        <w:t>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יאוחר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1.11.16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start="720" w:end="0"/>
        <w:jc w:val="both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הפרקליטות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תדווח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לנפגעי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בשני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האישומים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פסיקת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הפיצויים</w:t>
      </w:r>
      <w:r>
        <w:rPr>
          <w:rFonts w:cs="FrankRueh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ותמסור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פרטיהם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FrankRuehl"/>
          <w:b/>
          <w:bCs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firstLine="720" w:start="720" w:end="0"/>
        <w:jc w:val="both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cs="FrankRueh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start="720" w:end="0"/>
        <w:jc w:val="both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cs="FrankRueh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start="720" w:end="0"/>
        <w:jc w:val="both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cs="FrankRueh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start="720" w:end="0"/>
        <w:jc w:val="both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cs="FrankRueh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start="720" w:end="0"/>
        <w:jc w:val="both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cs="FrankRueh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start="720" w:end="0"/>
        <w:jc w:val="both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Cs/>
          <w:sz w:val="28"/>
          <w:szCs w:val="28"/>
          <w:lang w:val="en-US" w:eastAsia="en-US"/>
        </w:rPr>
        <w:t>45</w:t>
      </w:r>
      <w:r>
        <w:rPr>
          <w:rFonts w:cs="FrankRueh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מהיום</w:t>
      </w:r>
      <w:r>
        <w:rPr>
          <w:rFonts w:cs="FrankRuehl"/>
          <w:b/>
          <w:bCs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ח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אייר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5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ביוני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2016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הסנגורים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לשפה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520" w:type="dxa"/>
        <w:jc w:val="start"/>
        <w:tblInd w:w="127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43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47686-01-15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עסב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qFormat/>
    <w:rPr>
      <w:color w:val="808080"/>
    </w:rPr>
  </w:style>
  <w:style w:type="character" w:styleId="CharChar1">
    <w:name w:val=" Char Char1"/>
    <w:qFormat/>
    <w:rPr>
      <w:rFonts w:cs="David"/>
      <w:b/>
      <w:bCs/>
      <w:szCs w:val="24"/>
      <w:lang w:val="en-US" w:eastAsia="en-IL" w:bidi="he-IL"/>
    </w:rPr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2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Arial1">
    <w:name w:val="סגנון (לטיני) Arial מיושר לשני הצדדים מרווח בין שורות:  כפול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40.a" TargetMode="External"/><Relationship Id="rId7" Type="http://schemas.openxmlformats.org/officeDocument/2006/relationships/hyperlink" Target="http://www.nevo.co.il/law/70301/402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340.a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2.b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340.a" TargetMode="External"/><Relationship Id="rId23" Type="http://schemas.openxmlformats.org/officeDocument/2006/relationships/hyperlink" Target="http://www.nevo.co.il/case/7016925" TargetMode="External"/><Relationship Id="rId24" Type="http://schemas.openxmlformats.org/officeDocument/2006/relationships/hyperlink" Target="http://www.nevo.co.il/case/4579004" TargetMode="External"/><Relationship Id="rId25" Type="http://schemas.openxmlformats.org/officeDocument/2006/relationships/hyperlink" Target="http://www.nevo.co.il/law/70301/402.b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case/5815848" TargetMode="External"/><Relationship Id="rId28" Type="http://schemas.openxmlformats.org/officeDocument/2006/relationships/hyperlink" Target="http://www.nevo.co.il/case/5999999" TargetMode="External"/><Relationship Id="rId29" Type="http://schemas.openxmlformats.org/officeDocument/2006/relationships/hyperlink" Target="http://www.nevo.co.il/case/6054321" TargetMode="External"/><Relationship Id="rId30" Type="http://schemas.openxmlformats.org/officeDocument/2006/relationships/hyperlink" Target="http://www.nevo.co.il/case/6040836" TargetMode="External"/><Relationship Id="rId31" Type="http://schemas.openxmlformats.org/officeDocument/2006/relationships/hyperlink" Target="http://www.nevo.co.il/case/7016925" TargetMode="External"/><Relationship Id="rId32" Type="http://schemas.openxmlformats.org/officeDocument/2006/relationships/hyperlink" Target="http://www.nevo.co.il/law/70301/40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4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2017-01-10T13:49:00Z</dcterms:created>
  <dc:creator> </dc:creator>
  <dc:description/>
  <cp:keywords/>
  <dc:language>en-IL</dc:language>
  <cp:lastModifiedBy>Tali-a</cp:lastModifiedBy>
  <dcterms:modified xsi:type="dcterms:W3CDTF">2017-01-10T13:49:00Z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אבו עסב;עבד אבו עסב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7016925:2;4579004;5815848;5999999;6054321;6040836</vt:lpwstr>
  </property>
  <property fmtid="{D5CDD505-2E9C-101B-9397-08002B2CF9AE}" pid="9" name="CITY">
    <vt:lpwstr>י-ם</vt:lpwstr>
  </property>
  <property fmtid="{D5CDD505-2E9C-101B-9397-08002B2CF9AE}" pid="10" name="DATE">
    <vt:lpwstr>20160605</vt:lpwstr>
  </property>
  <property fmtid="{D5CDD505-2E9C-101B-9397-08002B2CF9AE}" pid="11" name="DELEMATA">
    <vt:lpwstr/>
  </property>
  <property fmtid="{D5CDD505-2E9C-101B-9397-08002B2CF9AE}" pid="12" name="JUDGE">
    <vt:lpwstr>י' נועם</vt:lpwstr>
  </property>
  <property fmtid="{D5CDD505-2E9C-101B-9397-08002B2CF9AE}" pid="13" name="LAWLISTTMP1">
    <vt:lpwstr>70301/402.b:5;144.a:5;192:2;340.a:2;402:2;144:2</vt:lpwstr>
  </property>
  <property fmtid="{D5CDD505-2E9C-101B-9397-08002B2CF9AE}" pid="14" name="LAWYER">
    <vt:lpwstr>גיל פרידמן; מוחמד חלאילה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47686;59030</vt:lpwstr>
  </property>
  <property fmtid="{D5CDD505-2E9C-101B-9397-08002B2CF9AE}" pid="21" name="NEWPARTB">
    <vt:lpwstr>01;03</vt:lpwstr>
  </property>
  <property fmtid="{D5CDD505-2E9C-101B-9397-08002B2CF9AE}" pid="22" name="NEWPARTC">
    <vt:lpwstr>15;</vt:lpwstr>
  </property>
  <property fmtid="{D5CDD505-2E9C-101B-9397-08002B2CF9AE}" pid="23" name="NEWPROC">
    <vt:lpwstr>תפ;תפ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390020160605</vt:lpwstr>
  </property>
  <property fmtid="{D5CDD505-2E9C-101B-9397-08002B2CF9AE}" pid="33" name="TYPE_N_DATE">
    <vt:lpwstr>39020160605</vt:lpwstr>
  </property>
  <property fmtid="{D5CDD505-2E9C-101B-9397-08002B2CF9AE}" pid="34" name="VOLUME">
    <vt:lpwstr/>
  </property>
  <property fmtid="{D5CDD505-2E9C-101B-9397-08002B2CF9AE}" pid="35" name="WORDNUMPAGES">
    <vt:lpwstr>15</vt:lpwstr>
  </property>
</Properties>
</file>