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באילת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47941-06-15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גורדייף</w:t>
            </w:r>
          </w:p>
        </w:tc>
        <w:tc>
          <w:tcPr>
            <w:tcW w:w="373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b/>
                <w:bCs/>
                <w:sz w:val="26"/>
                <w:szCs w:val="26"/>
              </w:rPr>
              <w:t>05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2017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48" w:type="dxa"/>
        <w:jc w:val="start"/>
        <w:tblInd w:w="35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"/>
        <w:gridCol w:w="18"/>
        <w:gridCol w:w="83"/>
        <w:gridCol w:w="2797"/>
        <w:gridCol w:w="5922"/>
      </w:tblGrid>
      <w:tr>
        <w:trPr/>
        <w:tc>
          <w:tcPr>
            <w:tcW w:w="129" w:type="dxa"/>
            <w:gridSpan w:val="3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יוסי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טופף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מתמחה</w:t>
            </w:r>
            <w:r>
              <w:rPr>
                <w:sz w:val="26"/>
                <w:szCs w:val="26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rtl w:val="true"/>
              </w:rPr>
              <w:t>אדווה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פנחס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מלול</w:t>
            </w:r>
            <w:r>
              <w:rPr>
                <w:sz w:val="26"/>
                <w:szCs w:val="26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rtl w:val="true"/>
              </w:rPr>
              <w:t>מתמחה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נורית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מעתוק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דרום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סרגיוס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גורדייף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קינן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סנגוריה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ציבורית</w:t>
            </w:r>
          </w:p>
        </w:tc>
      </w:tr>
      <w:tr>
        <w:trPr>
          <w:trHeight w:val="355" w:hRule="atLeast"/>
        </w:trPr>
        <w:tc>
          <w:tcPr>
            <w:tcW w:w="28" w:type="dxa"/>
            <w:tcBorders/>
          </w:tcPr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8820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הסמים המסוכנים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13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4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ד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וההרשעה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9" w:name="ABSTRACT_START"/>
      <w:bookmarkEnd w:id="9"/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19.4.2016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והספקה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1973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hyperlink r:id="rId11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המסוכנים</w:t>
        </w:r>
      </w:hyperlink>
      <w:r>
        <w:rPr>
          <w:rFonts w:cs="Calibri" w:ascii="Calibri" w:hAnsi="Calibri"/>
          <w:rtl w:val="true"/>
        </w:rPr>
        <w:t>").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11.3.2014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11.3.2014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9.8861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Times New Roman"/>
          <w:sz w:val="22"/>
          <w:szCs w:val="22"/>
        </w:rPr>
        <w:t>Dimethlmethcathinone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0.3201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-</w:t>
      </w:r>
      <w:r>
        <w:rPr>
          <w:rFonts w:cs="Times New Roman"/>
          <w:sz w:val="22"/>
          <w:szCs w:val="22"/>
        </w:rPr>
        <w:t>Methyiethcathinone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נורית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מעתוק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להילחם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לרווחים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ומוקפד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ומשקלו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הפצתו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האוכלוסייה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הפצתו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התרופתי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בייצוב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בהתמכרות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רלוונטית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בעומס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המורכבות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תומכת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שהזמין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ובפרנסתו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שהחבילה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ליעדה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הדיפלומה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מאוניברסיטת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אוקלהומה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רלוונטית</w:t>
      </w:r>
      <w:r>
        <w:rPr>
          <w:rFonts w:cs="Calibri" w:ascii="Calibri" w:hAnsi="Calibri"/>
          <w:rtl w:val="true"/>
        </w:rPr>
        <w:t xml:space="preserve">.   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ארצה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מדיכאון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שתחושותיו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שהזמין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ומסקנות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Calibri" w:hAnsi="Calibri" w:cs="Arial"/>
          <w:sz w:val="22"/>
          <w:szCs w:val="22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hyperlink r:id="rId14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תחילה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ואובייקטיבים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בהרתעתו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2918/13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דבס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18.7.2013</w:t>
      </w:r>
      <w:r>
        <w:rPr>
          <w:rFonts w:cs="Calibri" w:ascii="Calibri" w:hAnsi="Calibri"/>
          <w:rtl w:val="true"/>
        </w:rPr>
        <w:t xml:space="preserve">);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1903/13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עיאשה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14.7.2013</w:t>
      </w:r>
      <w:r>
        <w:rPr>
          <w:rFonts w:cs="Calibri" w:ascii="Calibri" w:hAnsi="Calibri"/>
          <w:rtl w:val="true"/>
        </w:rPr>
        <w:t xml:space="preserve">);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5.6.2013</w:t>
      </w:r>
      <w:r>
        <w:rPr>
          <w:rFonts w:cs="Calibri" w:ascii="Calibri" w:hAnsi="Calibri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שהוגדר</w:t>
      </w:r>
      <w:r>
        <w:rPr>
          <w:rFonts w:ascii="Calibri" w:hAnsi="Calibri" w:cs="Calibri"/>
          <w:rtl w:val="true"/>
        </w:rPr>
        <w:t xml:space="preserve"> 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8641/12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5.8.2013</w:t>
      </w:r>
      <w:r>
        <w:rPr>
          <w:rFonts w:cs="Calibri" w:ascii="Calibri" w:hAnsi="Calibri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הערכים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החברתיים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שנפגעו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9.8861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Times New Roman"/>
          <w:sz w:val="22"/>
          <w:szCs w:val="22"/>
        </w:rPr>
        <w:t>Dimethlmethcathinone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0.3201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sz w:val="22"/>
          <w:szCs w:val="22"/>
        </w:rPr>
        <w:t>4</w:t>
      </w:r>
      <w:r>
        <w:rPr>
          <w:rFonts w:cs="Calibri" w:ascii="Calibri" w:hAnsi="Calibri"/>
          <w:rtl w:val="true"/>
        </w:rPr>
        <w:t>-</w:t>
      </w:r>
      <w:r>
        <w:rPr>
          <w:rFonts w:cs="Times New Roman"/>
          <w:sz w:val="22"/>
          <w:szCs w:val="22"/>
        </w:rPr>
        <w:t>Methyiethcathinone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בערכים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התיכון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קנובואידים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סינתטיים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המכונים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חגיגת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שאינם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וקוקאין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נפיצותם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היחסית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נתתי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קנבואיד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סינתטי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ולמשקלו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ובלעדי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נשמעה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ומוקפד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לכאורה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מתחשבת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במאבק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בארצנו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כמגיפה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במלחמה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מפליגה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נכון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יטופל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575/88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עאטף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בן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אחמד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עודה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ישראל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מב</w:t>
        </w:r>
      </w:hyperlink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242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יפים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3117/12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ארביב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6.9.2012</w:t>
      </w:r>
      <w:r>
        <w:rPr>
          <w:rFonts w:cs="Calibri" w:ascii="Calibri" w:hAnsi="Calibri"/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50" w:end="284"/>
        <w:jc w:val="both"/>
        <w:rPr/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עמד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היתירה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ההשלכות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גופו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נפשו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המשתמש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ראו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למשל</w:t>
      </w:r>
      <w:r>
        <w:rPr>
          <w:rFonts w:cs="Calibri" w:ascii="Calibri" w:hAnsi="Calibri"/>
          <w:b/>
          <w:bCs/>
          <w:rtl w:val="true"/>
        </w:rPr>
        <w:t xml:space="preserve">, </w:t>
      </w:r>
      <w:hyperlink r:id="rId25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6029/03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שמאי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נח</w:t>
        </w:r>
      </w:hyperlink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cs="Calibri" w:ascii="Calibri" w:hAnsi="Calibri"/>
          <w:b/>
          <w:bCs/>
        </w:rPr>
        <w:t>734</w:t>
      </w:r>
      <w:r>
        <w:rPr>
          <w:rFonts w:cs="Calibri" w:ascii="Calibri" w:hAnsi="Calibri"/>
          <w:b/>
          <w:bCs/>
          <w:rtl w:val="true"/>
        </w:rPr>
        <w:t xml:space="preserve"> (</w:t>
      </w:r>
      <w:r>
        <w:rPr>
          <w:rFonts w:cs="Calibri" w:ascii="Calibri" w:hAnsi="Calibri"/>
          <w:b/>
          <w:bCs/>
        </w:rPr>
        <w:t>2004</w:t>
      </w:r>
      <w:r>
        <w:rPr>
          <w:rFonts w:cs="Calibri" w:ascii="Calibri" w:hAnsi="Calibri"/>
          <w:b/>
          <w:bCs/>
          <w:rtl w:val="true"/>
        </w:rPr>
        <w:t xml:space="preserve">)). </w:t>
      </w:r>
      <w:r>
        <w:rPr>
          <w:rFonts w:ascii="Calibri" w:hAnsi="Calibri" w:cs="Calibri"/>
          <w:b/>
          <w:b/>
          <w:bCs/>
          <w:rtl w:val="true"/>
        </w:rPr>
        <w:t>לפיכך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אמורה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לשקף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הדוחק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להביא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להדברת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הנגע</w:t>
      </w:r>
      <w:r>
        <w:rPr>
          <w:rFonts w:cs="Calibri" w:ascii="Calibri" w:hAnsi="Calibri"/>
          <w:b/>
          <w:bCs/>
          <w:rtl w:val="true"/>
        </w:rPr>
        <w:t>' (</w:t>
      </w:r>
      <w:r>
        <w:rPr>
          <w:rFonts w:ascii="Calibri" w:hAnsi="Calibri" w:cs="Calibri"/>
          <w:b/>
          <w:b/>
          <w:bCs/>
          <w:rtl w:val="true"/>
        </w:rPr>
        <w:t>שם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בעמ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cs="Calibri" w:ascii="Calibri" w:hAnsi="Calibri"/>
          <w:b/>
          <w:bCs/>
        </w:rPr>
        <w:t>740</w:t>
      </w:r>
      <w:r>
        <w:rPr>
          <w:rFonts w:cs="Calibri" w:ascii="Calibri" w:hAnsi="Calibri"/>
          <w:b/>
          <w:bCs/>
          <w:rtl w:val="true"/>
        </w:rPr>
        <w:t xml:space="preserve">). </w:t>
      </w:r>
      <w:r>
        <w:rPr>
          <w:rFonts w:ascii="Calibri" w:hAnsi="Calibri" w:cs="Calibri"/>
          <w:b/>
          <w:b/>
          <w:bCs/>
          <w:rtl w:val="true"/>
        </w:rPr>
        <w:t>ב</w:t>
      </w:r>
      <w:hyperlink r:id="rId26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9482/09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24.7.2011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נתן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חברי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השופט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ובראן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באומרו</w:t>
      </w:r>
      <w:r>
        <w:rPr>
          <w:rFonts w:cs="Calibri" w:ascii="Calibri" w:hAnsi="Calibri"/>
          <w:b/>
          <w:bCs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הפוגע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בחברתנו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מחייב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מלחמת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חורמה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והעונשים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שיגזרו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צריכים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להשתלב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במאבק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הכולל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להדברת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הנגע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לשיקול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ההרתעתי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השיקולים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האישיים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משקלם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נמוך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כגון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cs="Calibri" w:ascii="Calibri" w:hAnsi="Calibri"/>
          <w:rtl w:val="true"/>
        </w:rPr>
        <w:t>"</w:t>
      </w:r>
    </w:p>
    <w:p>
      <w:pPr>
        <w:pStyle w:val="Normal"/>
        <w:spacing w:lineRule="auto" w:line="360"/>
        <w:ind w:end="284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hyperlink r:id="rId27">
        <w:r>
          <w:rPr>
            <w:rStyle w:val="Hyperlink"/>
            <w:rFonts w:cs="Calibri" w:ascii="Calibri" w:hAnsi="Calibri"/>
            <w:color w:val="0000FF"/>
            <w:u w:val="single"/>
          </w:rPr>
          <w:t>9482/09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24.7.2011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ובראן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1076" w:end="284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50" w:end="284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הפוגע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בחברתנו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מחייב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מלחמת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חורמה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והעונשים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שיגזרו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צריכים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להשתלב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במאבק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הכולל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להדברת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הנגע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לשיקול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ההרתעתי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השיקולים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האישיים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משקלם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נמוך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כגון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cs="Calibri" w:ascii="Calibri" w:hAnsi="Calibri"/>
          <w:b/>
          <w:bCs/>
          <w:rtl w:val="true"/>
        </w:rPr>
        <w:t>. '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למחזיקי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קרי</w:t>
      </w:r>
      <w:r>
        <w:rPr>
          <w:rFonts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למשולבים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ההפצה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מכוון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לקבוע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בהכרת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היתירה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מייחסים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להפצת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ולהרתיע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מלשלוח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ההפצה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שתי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תכליות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מרכזיות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להשיג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חמורים</w:t>
      </w:r>
      <w:r>
        <w:rPr>
          <w:rFonts w:cs="Calibri" w:ascii="Calibri" w:hAnsi="Calibri"/>
          <w:b/>
          <w:bCs/>
          <w:rtl w:val="true"/>
        </w:rPr>
        <w:t>' (</w:t>
      </w:r>
      <w:hyperlink r:id="rId28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966/94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אמזלג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12.12.1995</w:t>
      </w:r>
      <w:r>
        <w:rPr>
          <w:rFonts w:cs="Calibri" w:ascii="Calibri" w:hAnsi="Calibri"/>
          <w:b/>
          <w:bCs/>
          <w:rtl w:val="true"/>
        </w:rPr>
        <w:t>))".</w:t>
        <w:tab/>
      </w:r>
    </w:p>
    <w:p>
      <w:pPr>
        <w:pStyle w:val="Normal"/>
        <w:spacing w:lineRule="auto" w:line="360"/>
        <w:ind w:firstLine="720" w:end="284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6029/03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שמאי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נח</w:t>
        </w:r>
      </w:hyperlink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734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739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חשין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50" w:end="284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מודעות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להשפעות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גופו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נפשו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המשתמש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השאר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יציאתו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ממעגל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הרגיל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ועם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התגברות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המחוקק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להנחות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להחמיר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המוטלים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סוחרים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בסמים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המחוקק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והוסיף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וקבע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בצד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מרביים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האמורים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לשקף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הדוחק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להביא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להדברת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הנגע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נסוגים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השיקולים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העבריין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שיקולי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המשתמשים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שומה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בצרכני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צרכנים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קיימים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וצרכנים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פוטנציאליים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לרבות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גרירתם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לביצוען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מימון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cs="Calibri" w:ascii="Calibri" w:hAnsi="Calibri"/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יצוין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שתכניתו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המחוקק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היתרה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יבוא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בקובעו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מרבי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העובדה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מזימתו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המערער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סוכלה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ובעקבות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נמנעו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פירותיה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יסוד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האיסור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ליבוא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לעצמו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להוסיף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דרישה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רווחים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הפעולה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האסורה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ראה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b/>
          <w:bCs/>
          <w:rtl w:val="true"/>
        </w:rPr>
        <w:t xml:space="preserve"> 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10635/08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(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13.12.2010</w:t>
      </w:r>
      <w:r>
        <w:rPr>
          <w:rFonts w:cs="Calibri" w:ascii="Calibri" w:hAnsi="Calibri"/>
          <w:rtl w:val="true"/>
        </w:rPr>
        <w:t>)).</w:t>
      </w:r>
    </w:p>
    <w:p>
      <w:pPr>
        <w:pStyle w:val="Normal"/>
        <w:spacing w:lineRule="auto" w:line="360"/>
        <w:ind w:end="284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end="284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29269-02-14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אופיר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4.1.2015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מהולנד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sz w:val="22"/>
          <w:szCs w:val="22"/>
        </w:rPr>
        <w:t>UR</w:t>
      </w:r>
      <w:r>
        <w:rPr>
          <w:rFonts w:cs="Calibri" w:ascii="Calibri" w:hAnsi="Calibri"/>
        </w:rPr>
        <w:t>-144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קנבואיד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סינתטי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24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17410-08-13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תום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אלקלעי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30.6.2014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שהזמין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מהולנד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האינטרנט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דימתילטריפטאמין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  <w:sz w:val="22"/>
          <w:szCs w:val="22"/>
        </w:rPr>
        <w:t>DMT</w:t>
      </w:r>
      <w:r>
        <w:rPr>
          <w:rFonts w:cs="Calibri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rtl w:val="true"/>
        </w:rPr>
        <w:t>השייך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ההזייתיים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1,011.84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גוריון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עבודות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בעבודות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9046-01-14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יצחק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יעיש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11.3.2014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מארה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בעבודת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40138/05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יגאל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שמעון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פדרמן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25.3.2007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187.26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מבוליביה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הבריאותי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/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רמ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7325-10-16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משטרת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תביעות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שלוחת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רמלה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שמואל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11.5.2017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מהולנד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האינטרנט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זרעים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קנאביס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גוריון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מעטפה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קנאביס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צ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בעבודות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/>
      </w:pP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54179-09-14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אלכסנדר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פרוצלוב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26.5.2016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מקנדה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האינטרנט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האינטרנט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לתקופה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שיכול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ותרוצה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בעבודות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18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בעבודות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1,500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/>
      </w:pP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16389-10-13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סבח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17.6.2014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טאבה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41.79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בגרביו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שיכול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וירוצו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בעבודות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בעבודות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והתחייבות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/>
      </w:pP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30518-07-11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רן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אברהם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12.1.2012</w:t>
      </w:r>
      <w:r>
        <w:rPr>
          <w:rFonts w:cs="Calibri" w:ascii="Calibri" w:hAnsi="Calibri"/>
          <w:rtl w:val="true"/>
        </w:rPr>
        <w:t>),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והספקת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199.3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הפצתם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בעבודות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2,500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והתחייבות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/>
      </w:pPr>
      <w:r>
        <w:rPr>
          <w:rFonts w:ascii="Calibri" w:hAnsi="Calibri" w:cs="Calibri"/>
          <w:rtl w:val="true"/>
        </w:rPr>
        <w:t>ט</w:t>
      </w:r>
      <w:r>
        <w:rPr>
          <w:rFonts w:cs="Calibri" w:ascii="Calibri" w:hAnsi="Calibri"/>
          <w:rtl w:val="true"/>
        </w:rPr>
        <w:t>.</w:t>
        <w:tab/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1072/09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רוני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סבג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10.2.2010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866.9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וחשיש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בעבודות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המקובץ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למשך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שיכול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וירוצה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בעבודות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נסיבות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שאינן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קשורות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בביצוע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העבירה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נלמדות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טיעוני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אינדיווידואלית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הבוחנת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433/89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אטיאס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ישראל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מג</w:t>
        </w:r>
      </w:hyperlink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170</w:t>
      </w:r>
      <w:r>
        <w:rPr>
          <w:rFonts w:cs="Calibri" w:ascii="Calibri" w:hAnsi="Calibri"/>
          <w:rtl w:val="true"/>
        </w:rPr>
        <w:t xml:space="preserve">; 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5106/99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אבו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ניג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מה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ישראל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נד</w:t>
        </w:r>
      </w:hyperlink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350</w:t>
      </w:r>
      <w:r>
        <w:rPr>
          <w:rFonts w:cs="Calibri" w:ascii="Calibri" w:hAnsi="Calibri"/>
          <w:rtl w:val="true"/>
        </w:rPr>
        <w:t xml:space="preserve">; 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3173/09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פראגין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5.5.2009</w:t>
      </w:r>
      <w:r>
        <w:rPr>
          <w:rFonts w:cs="Calibri" w:ascii="Calibri" w:hAnsi="Calibri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u w:val="single"/>
          <w:rtl w:val="true"/>
        </w:rPr>
        <w:t>תסקירי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המבחן</w:t>
      </w:r>
      <w:r>
        <w:rPr>
          <w:rFonts w:ascii="Calibri" w:hAnsi="Calibri" w:cs="Calibri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07.08.2016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נסקרו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ורקעו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צנעת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לנדרש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פרוד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רוסיה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אביב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בינלאומיים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המשקפיים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ממריצים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אקסטזי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מזדמן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קנאביס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ההתמכרות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להזמין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האינטרנט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פרנסה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טלטלה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בבדיקת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דיווחיו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התכווצויות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וכאבי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לרופא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ובבדיקתו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לנוירולוג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תרופתי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הרגעתי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אקטיביים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להתמכרויות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חיצונית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בודד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מקדיש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התגבשה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מושרשים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התמכרות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29.11.2016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סוציאלית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הרוסית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משרידי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מרופאה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נוירולוגית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הממצאים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הזדקקותו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המותאמות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02.04.2017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הדחייה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בהתמכרויות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ובהדרגה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בקורותיו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לפסיכיאטר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מסיכום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הפסיכיאטרית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מהפרעות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פאניקה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דיכאון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תסמינים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סומטיים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גופניים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תרופתי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הסוציאלית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התרופתי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בייצוב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לפסיכיאטר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המתמחה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והתמכרותי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רוסית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פסיכיאטרי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הרגשי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המשקיע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התחדדה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תסמיני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דכאון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צרכיו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הבעייתי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הניכרים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מושרשים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ומשמעת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האבחון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הפסיכיאטרי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פסיכיאטרי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בהפחתת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פסיכיאטרי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חינוכית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מארגן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3.7.2017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שיקולים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לחומרה</w:t>
      </w:r>
      <w:r>
        <w:rPr>
          <w:rFonts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cs="Calibri"/>
          <w:rtl w:val="true"/>
        </w:rPr>
        <w:t>בבסיס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ניצבת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שיקולים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לקולה</w:t>
      </w:r>
      <w:r>
        <w:rPr>
          <w:rFonts w:cs="Calibri" w:ascii="Calibri" w:hAnsi="Calibri"/>
          <w:b/>
          <w:bCs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מושרשים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ותרופות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פסיכיאטרי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דוגמה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הנוטים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שוכנעתי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החדשה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ייתרם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נשכרת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תמריץ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התמדתו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התמדתו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מסודרת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שאיפותיו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וחלוף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מכוח</w:t>
      </w:r>
      <w:r>
        <w:rPr>
          <w:rFonts w:ascii="Calibri" w:hAnsi="Calibri" w:cs="Calibri"/>
          <w:rtl w:val="true"/>
        </w:rPr>
        <w:t xml:space="preserve"> 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הסלידה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הוקעתם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הנדרשת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שהתרשמתי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המלצות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להעדיף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cs="Calibri" w:ascii="Calibri" w:hAnsi="Calibri"/>
          <w:rtl w:val="true"/>
        </w:rPr>
        <w:t>.</w:t>
        <w:tab/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המתאים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שפירטתי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  <w:t xml:space="preserve"> </w:t>
      </w:r>
      <w:r>
        <w:rPr>
          <w:rFonts w:ascii="Calibri" w:hAnsi="Calibri" w:cs="Calibri"/>
          <w:u w:val="single"/>
          <w:rtl w:val="true"/>
        </w:rPr>
        <w:t>שירות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לתועלת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375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להתנדבות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ובפיקוחו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2.4.2017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הובהר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להפקעתו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חידוש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u w:val="single"/>
          <w:rtl w:val="true"/>
        </w:rPr>
        <w:t>צו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הנחיותיו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מובהר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u w:val="single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;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.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1.9.2017</w:t>
      </w:r>
      <w:r>
        <w:rPr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פיגור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91" w:leader="none"/>
        </w:tabs>
        <w:spacing w:lineRule="auto" w:line="360"/>
        <w:ind w:hanging="425" w:start="89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יושמדו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/ </w:t>
      </w:r>
      <w:r>
        <w:rPr>
          <w:rFonts w:ascii="Calibri" w:hAnsi="Calibri" w:cs="Calibri"/>
          <w:rtl w:val="true"/>
        </w:rPr>
        <w:t>יחולטו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/ </w:t>
      </w:r>
      <w:r>
        <w:rPr>
          <w:rFonts w:ascii="Calibri" w:hAnsi="Calibri" w:cs="Calibri"/>
          <w:rtl w:val="true"/>
        </w:rPr>
        <w:t>יושבו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466" w:leader="none"/>
        </w:tabs>
        <w:spacing w:lineRule="auto" w:line="360"/>
        <w:ind w:hanging="466" w:start="466" w:end="0"/>
        <w:jc w:val="both"/>
        <w:rPr/>
      </w:pP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המזכירות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466" w:end="0"/>
        <w:jc w:val="both"/>
        <w:rPr/>
      </w:pP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יוסי טופף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49"/>
      <w:footerReference w:type="default" r:id="rId50"/>
      <w:type w:val="nextPage"/>
      <w:pgSz w:w="11906" w:h="16838"/>
      <w:pgMar w:left="1134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אי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47941-06-15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סרגיוס גורדייף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.i" TargetMode="External"/><Relationship Id="rId6" Type="http://schemas.openxmlformats.org/officeDocument/2006/relationships/hyperlink" Target="http://www.nevo.co.il/law/70301/40c.a" TargetMode="External"/><Relationship Id="rId7" Type="http://schemas.openxmlformats.org/officeDocument/2006/relationships/hyperlink" Target="http://www.nevo.co.il/law/70301/40d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4216/13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6950458" TargetMode="External"/><Relationship Id="rId16" Type="http://schemas.openxmlformats.org/officeDocument/2006/relationships/hyperlink" Target="http://www.nevo.co.il/case/6824952" TargetMode="External"/><Relationship Id="rId17" Type="http://schemas.openxmlformats.org/officeDocument/2006/relationships/hyperlink" Target="http://www.nevo.co.il/case/6473037" TargetMode="External"/><Relationship Id="rId18" Type="http://schemas.openxmlformats.org/officeDocument/2006/relationships/hyperlink" Target="http://www.nevo.co.il/law/70301/40c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5573417" TargetMode="External"/><Relationship Id="rId21" Type="http://schemas.openxmlformats.org/officeDocument/2006/relationships/hyperlink" Target="http://www.nevo.co.il/law/70301/40.i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17939812" TargetMode="External"/><Relationship Id="rId24" Type="http://schemas.openxmlformats.org/officeDocument/2006/relationships/hyperlink" Target="http://www.nevo.co.il/case/5583030" TargetMode="External"/><Relationship Id="rId25" Type="http://schemas.openxmlformats.org/officeDocument/2006/relationships/hyperlink" Target="http://www.nevo.co.il/case/5786821" TargetMode="External"/><Relationship Id="rId26" Type="http://schemas.openxmlformats.org/officeDocument/2006/relationships/hyperlink" Target="http://www.nevo.co.il/case/5726579" TargetMode="External"/><Relationship Id="rId27" Type="http://schemas.openxmlformats.org/officeDocument/2006/relationships/hyperlink" Target="http://www.nevo.co.il/case/5726579" TargetMode="External"/><Relationship Id="rId28" Type="http://schemas.openxmlformats.org/officeDocument/2006/relationships/hyperlink" Target="http://www.nevo.co.il/case/17932979" TargetMode="External"/><Relationship Id="rId29" Type="http://schemas.openxmlformats.org/officeDocument/2006/relationships/hyperlink" Target="http://www.nevo.co.il/case/5786821" TargetMode="External"/><Relationship Id="rId30" Type="http://schemas.openxmlformats.org/officeDocument/2006/relationships/hyperlink" Target="http://www.nevo.co.il/case/6172686" TargetMode="External"/><Relationship Id="rId31" Type="http://schemas.openxmlformats.org/officeDocument/2006/relationships/hyperlink" Target="http://www.nevo.co.il/case/11328957" TargetMode="External"/><Relationship Id="rId32" Type="http://schemas.openxmlformats.org/officeDocument/2006/relationships/hyperlink" Target="http://www.nevo.co.il/case/7944138" TargetMode="External"/><Relationship Id="rId33" Type="http://schemas.openxmlformats.org/officeDocument/2006/relationships/hyperlink" Target="http://www.nevo.co.il/case/11223224" TargetMode="External"/><Relationship Id="rId34" Type="http://schemas.openxmlformats.org/officeDocument/2006/relationships/hyperlink" Target="http://www.nevo.co.il/case/462370" TargetMode="External"/><Relationship Id="rId35" Type="http://schemas.openxmlformats.org/officeDocument/2006/relationships/hyperlink" Target="http://www.nevo.co.il/case/21658221" TargetMode="External"/><Relationship Id="rId36" Type="http://schemas.openxmlformats.org/officeDocument/2006/relationships/hyperlink" Target="http://www.nevo.co.il/case/18053784" TargetMode="External"/><Relationship Id="rId37" Type="http://schemas.openxmlformats.org/officeDocument/2006/relationships/hyperlink" Target="http://www.nevo.co.il/case/8268386" TargetMode="External"/><Relationship Id="rId38" Type="http://schemas.openxmlformats.org/officeDocument/2006/relationships/hyperlink" Target="http://www.nevo.co.il/case/2831675" TargetMode="External"/><Relationship Id="rId39" Type="http://schemas.openxmlformats.org/officeDocument/2006/relationships/hyperlink" Target="http://www.nevo.co.il/case/2533457" TargetMode="External"/><Relationship Id="rId40" Type="http://schemas.openxmlformats.org/officeDocument/2006/relationships/hyperlink" Target="http://www.nevo.co.il/law/70301/40j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17941073" TargetMode="External"/><Relationship Id="rId44" Type="http://schemas.openxmlformats.org/officeDocument/2006/relationships/hyperlink" Target="http://www.nevo.co.il/case/5993616" TargetMode="External"/><Relationship Id="rId45" Type="http://schemas.openxmlformats.org/officeDocument/2006/relationships/hyperlink" Target="http://www.nevo.co.il/case/5880417" TargetMode="External"/><Relationship Id="rId46" Type="http://schemas.openxmlformats.org/officeDocument/2006/relationships/hyperlink" Target="http://www.nevo.co.il/law/70301/40d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advertisements/nevo-100.doc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2018-07-29T14:07:00Z</dcterms:created>
  <dc:creator> </dc:creator>
  <dc:description/>
  <cp:keywords/>
  <dc:language>en-IL</dc:language>
  <cp:lastModifiedBy>run</cp:lastModifiedBy>
  <dcterms:modified xsi:type="dcterms:W3CDTF">2018-07-29T14:07:00Z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סרגיוס גורדייף;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6950458;6824952;6473037;5573417;17939812;5583030;5786821:2;5726579:2;17932979;6172686;11328957;7944138;11223224;462370;21658221;18053784;8268386;2831675;2533457;17941073;5993616;5880417</vt:lpwstr>
  </property>
  <property fmtid="{D5CDD505-2E9C-101B-9397-08002B2CF9AE}" pid="9" name="CITY">
    <vt:lpwstr>אי'</vt:lpwstr>
  </property>
  <property fmtid="{D5CDD505-2E9C-101B-9397-08002B2CF9AE}" pid="10" name="DATE">
    <vt:lpwstr>20170705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יוסי טופף</vt:lpwstr>
  </property>
  <property fmtid="{D5CDD505-2E9C-101B-9397-08002B2CF9AE}" pid="14" name="LAWLISTTMP1">
    <vt:lpwstr>4216/013</vt:lpwstr>
  </property>
  <property fmtid="{D5CDD505-2E9C-101B-9397-08002B2CF9AE}" pid="15" name="LAWLISTTMP2">
    <vt:lpwstr>70301/040c.a;040.i;40ja;040d</vt:lpwstr>
  </property>
  <property fmtid="{D5CDD505-2E9C-101B-9397-08002B2CF9AE}" pid="16" name="LAWYER">
    <vt:lpwstr>אדווה פנחס מלול;נורית מעתוק ;גד קינן 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47941</vt:lpwstr>
  </property>
  <property fmtid="{D5CDD505-2E9C-101B-9397-08002B2CF9AE}" pid="23" name="NEWPARTB">
    <vt:lpwstr>06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380020170705</vt:lpwstr>
  </property>
  <property fmtid="{D5CDD505-2E9C-101B-9397-08002B2CF9AE}" pid="35" name="TYPE_N_DATE">
    <vt:lpwstr>38020170705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