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48176-01-22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1896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8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מוסטפא סרסור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סרסור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אסף גונן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eastAsia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מרדכי בן דרור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בית המשפט העליון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מבנה חדש והערכות חדשה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449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נאשמים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8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,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13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)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eastAsia="David" w:cs="David"/>
        </w:rPr>
      </w:pPr>
      <w:bookmarkStart w:id="13" w:name="ABSTRACT_START"/>
      <w:bookmarkEnd w:id="13"/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ומרובות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eastAsia="David" w:cs="David"/>
        </w:rPr>
      </w:pP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הורשעו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כתב האישום בתיק דנא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מגולל מסכת של מעשי מסחר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מסוגים שונים ובהיקף כספי עצום</w:t>
      </w:r>
      <w:bookmarkStart w:id="14" w:name="ABSTRACT_END"/>
      <w:bookmarkEnd w:id="14"/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שביצעו נאשמים שונים מול 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הצירוף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</w:rPr>
        <w:t>59530-02-22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/>
          <w:bCs/>
          <w:rtl w:val="true"/>
        </w:rPr>
        <w:t>אבר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</w:rPr>
        <w:t>Whatsapp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eastAsia="David" w:cs="David"/>
        </w:rPr>
      </w:pPr>
      <w:r>
        <w:rPr>
          <w:rFonts w:cs="David"/>
          <w:u w:val="single"/>
          <w:rtl w:val="true"/>
        </w:rPr>
        <w:t>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ניסיון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סחר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בצוותא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וסעיפים</w:t>
      </w:r>
      <w:r>
        <w:rPr>
          <w:rtl w:val="true"/>
        </w:rPr>
        <w:t xml:space="preserve"> </w:t>
      </w:r>
      <w:hyperlink r:id="rId14">
        <w:r>
          <w:rPr>
            <w:rStyle w:val="Hyperlink"/>
            <w:rFonts w:cs="David"/>
          </w:rPr>
          <w:t>29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25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5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) (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); </w:t>
      </w:r>
      <w:r>
        <w:rPr>
          <w:rFonts w:cs="David"/>
          <w:b/>
          <w:b/>
          <w:bCs/>
          <w:rtl w:val="true"/>
        </w:rPr>
        <w:t>סיוע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לסחר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וסעיף</w:t>
      </w:r>
      <w:r>
        <w:rPr>
          <w:rtl w:val="true"/>
        </w:rPr>
        <w:t xml:space="preserve"> </w:t>
      </w:r>
      <w:hyperlink r:id="rId17">
        <w:r>
          <w:rPr>
            <w:rStyle w:val="Hyperlink"/>
            <w:rFonts w:cs="David"/>
          </w:rPr>
          <w:t>31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); </w:t>
      </w:r>
      <w:r>
        <w:rPr>
          <w:rFonts w:cs="David"/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לצריכה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hyperlink r:id="rId18"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Fonts w:cs="David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9">
        <w:r>
          <w:rPr>
            <w:rStyle w:val="Hyperlink"/>
            <w:rFonts w:cs="David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-</w:t>
      </w:r>
      <w:r>
        <w:rPr>
          <w:rFonts w:cs="David"/>
        </w:rPr>
        <w:t>1973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29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Fonts w:cs="David"/>
          <w:b/>
          <w:b/>
          <w:bCs/>
          <w:rtl w:val="true"/>
        </w:rPr>
        <w:t>בתיק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הצירוף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בשתי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ניסיון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עסקה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20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hyperlink r:id="rId21">
        <w:r>
          <w:rPr>
            <w:rStyle w:val="Hyperlink"/>
            <w:rFonts w:cs="David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בפרשה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19.7.21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לסוכן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34,500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שוחח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האישום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21.11.21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הטלפון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לסוכן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מכירת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אקדח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גלוק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45,000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24.11.21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במחסנית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29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11.1.22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וברכב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מסוכן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מסוג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קנבוס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גר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כשהבחין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לחיפוש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שהשליכם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הסמוך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cs="David"/>
          <w:u w:val="single"/>
          <w:rtl w:val="true"/>
        </w:rPr>
        <w:t>בתיק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הצירוף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הורשע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במסגרת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האישום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החמישי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ובתחמושת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שביום</w:t>
      </w:r>
      <w:r>
        <w:rPr>
          <w:rtl w:val="true"/>
        </w:rPr>
        <w:t xml:space="preserve"> </w:t>
      </w:r>
      <w:r>
        <w:rPr>
          <w:rFonts w:cs="David"/>
        </w:rPr>
        <w:t>22.11.21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וואטספ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קופסת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תחמושת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20.12.21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היישומון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באקדח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טופי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הצהריים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Fonts w:cs="David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b/>
          <w:b/>
          <w:bCs/>
          <w:rtl w:val="true"/>
        </w:rPr>
        <w:t>שתי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לסחר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22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וסעיף</w:t>
      </w:r>
      <w:r>
        <w:rPr>
          <w:rtl w:val="true"/>
        </w:rPr>
        <w:t xml:space="preserve"> </w:t>
      </w:r>
      <w:hyperlink r:id="rId23">
        <w:r>
          <w:rPr>
            <w:rStyle w:val="Hyperlink"/>
            <w:rFonts w:cs="David"/>
          </w:rPr>
          <w:t>31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אישומים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); </w:t>
      </w:r>
      <w:r>
        <w:rPr>
          <w:rFonts w:cs="David"/>
          <w:b/>
          <w:b/>
          <w:bCs/>
          <w:rtl w:val="true"/>
        </w:rPr>
        <w:t>בתיק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הצירוף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הורשע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בקשירת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פשע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2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449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בפרשה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). </w:t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cs="David"/>
        </w:rPr>
      </w:pPr>
      <w:r>
        <w:rPr>
          <w:rFonts w:cs="David"/>
          <w:rtl w:val="true"/>
        </w:rPr>
        <w:t>כנטען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המתואר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באישום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13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19.7.21</w:t>
      </w:r>
      <w:r>
        <w:rPr>
          <w:rFonts w:cs="David"/>
          <w:rtl w:val="true"/>
        </w:rPr>
        <w:t xml:space="preserve">, ,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אקדח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חצי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אוטומטי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מסוג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Star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לסוכן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</w:rPr>
        <w:t>34,000</w:t>
      </w:r>
      <w:r>
        <w:rPr>
          <w:rFonts w:cs="David"/>
          <w:rtl w:val="true"/>
        </w:rPr>
        <w:t xml:space="preserve"> ₪;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 </w:t>
      </w:r>
      <w:r>
        <w:rPr>
          <w:rFonts w:cs="David"/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17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14.9.21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אקדח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חצי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אוטומטי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DDG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במחסנית</w:t>
      </w:r>
      <w:r>
        <w:rPr>
          <w:rFonts w:cs="David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cs="David"/>
          <w:u w:val="single"/>
          <w:rtl w:val="true"/>
        </w:rPr>
        <w:t>בתיק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הצירוף</w:t>
      </w:r>
      <w:r>
        <w:rPr>
          <w:u w:val="single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ספטמבר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ואוקטובר</w:t>
      </w:r>
      <w:r>
        <w:rPr>
          <w:rtl w:val="true"/>
        </w:rPr>
        <w:t xml:space="preserve"> </w:t>
      </w:r>
      <w:r>
        <w:rPr>
          <w:rFonts w:cs="David"/>
        </w:rPr>
        <w:t>2021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רימונים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>).</w:t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cs="David"/>
        </w:rPr>
      </w:pP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20.10.22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הצירוף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עונשיות</w:t>
      </w:r>
      <w:r>
        <w:rPr>
          <w:rFonts w:cs="David"/>
          <w:rtl w:val="true"/>
        </w:rPr>
        <w:t xml:space="preserve">.    </w:t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David"/>
        <w:numPr>
          <w:ilvl w:val="0"/>
          <w:numId w:val="1"/>
        </w:numPr>
        <w:ind w:hanging="360" w:start="100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רוזנבוים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ואשכנזי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David"/>
        <w:ind w:start="1004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 </w:t>
      </w:r>
    </w:p>
    <w:p>
      <w:pPr>
        <w:pStyle w:val="David"/>
        <w:ind w:start="1004" w:end="0"/>
        <w:jc w:val="both"/>
        <w:rPr/>
      </w:pP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. </w:t>
      </w:r>
    </w:p>
    <w:p>
      <w:pPr>
        <w:pStyle w:val="David"/>
        <w:ind w:start="1004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-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72-45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30190-06-20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סרסור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David"/>
        <w:ind w:start="1004" w:end="0"/>
        <w:jc w:val="both"/>
        <w:rPr/>
      </w:pPr>
      <w:r>
        <w:rPr>
          <w:rtl w:val="true"/>
        </w:rPr>
      </w:r>
    </w:p>
    <w:p>
      <w:pPr>
        <w:pStyle w:val="David"/>
        <w:ind w:start="1004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60-42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1"/>
        </w:numPr>
        <w:ind w:hanging="360" w:start="100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גונן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ותרומתם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שהרוויחו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והדרגתי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32-22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David"/>
        <w:ind w:start="644" w:end="0"/>
        <w:jc w:val="both"/>
        <w:rPr/>
      </w:pPr>
      <w:r>
        <w:rPr>
          <w:rtl w:val="true"/>
        </w:rPr>
      </w:r>
    </w:p>
    <w:p>
      <w:pPr>
        <w:pStyle w:val="David"/>
        <w:ind w:firstLine="76" w:start="928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David"/>
        <w:ind w:start="64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</w:rPr>
        <w:t>113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שפירושו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ובנסיבותיה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הקונקרטיות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לחרוג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העושה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/>
        <w:ind w:hanging="360" w:start="1004" w:end="0"/>
        <w:jc w:val="both"/>
        <w:rPr>
          <w:rFonts w:cs="David"/>
        </w:rPr>
      </w:pP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והדמיון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יוגדרו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2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5643/14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עיסא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23.6.15</w:t>
      </w:r>
      <w:r>
        <w:rPr>
          <w:rFonts w:cs="David"/>
          <w:rtl w:val="true"/>
        </w:rPr>
        <w:t xml:space="preserve">). 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אקדחים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בסכומי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ובטחונו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Fonts w:cs="David"/>
          <w:rtl w:val="true"/>
        </w:rPr>
        <w:t xml:space="preserve">. </w:t>
      </w:r>
      <w:r>
        <w:rPr>
          <w:rFonts w:ascii="David" w:hAnsi="David" w:eastAsia="David" w:cs="David"/>
          <w:color w:val="000000"/>
          <w:spacing w:val="10"/>
          <w:rtl w:val="true"/>
        </w:rPr>
        <w:t xml:space="preserve">חומרתן </w:t>
      </w:r>
      <w:r>
        <w:rPr>
          <w:rFonts w:ascii="David" w:hAnsi="David" w:eastAsia="David" w:cs="David"/>
          <w:rtl w:val="true"/>
        </w:rPr>
        <w:t>אינה מתמצה אך בעבירות גופן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אלא בפוטנציאל הנזק הנובע מהן</w:t>
      </w:r>
      <w:r>
        <w:rPr>
          <w:rFonts w:eastAsia="David" w:cs="David" w:ascii="David" w:hAnsi="David"/>
          <w:color w:val="000000"/>
          <w:spacing w:val="10"/>
          <w:rtl w:val="true"/>
        </w:rPr>
        <w:t xml:space="preserve">,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וסיכונים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זמינותם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ונגישותם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לעיתים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וגביית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2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579/22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אגבאריה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13.6.2022</w:t>
      </w:r>
      <w:r>
        <w:rPr>
          <w:rFonts w:cs="David"/>
          <w:rtl w:val="true"/>
        </w:rPr>
        <w:t xml:space="preserve">); </w:t>
      </w:r>
      <w:hyperlink r:id="rId28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1695/22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גנאים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29.3.2022</w:t>
      </w:r>
      <w:r>
        <w:rPr>
          <w:rFonts w:cs="David"/>
          <w:rtl w:val="true"/>
        </w:rPr>
        <w:t xml:space="preserve">); </w:t>
      </w:r>
      <w:hyperlink r:id="rId29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309/22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ביאדסה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10.5.2022</w:t>
      </w:r>
      <w:r>
        <w:rPr>
          <w:rFonts w:cs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/>
        <w:ind w:hanging="360" w:start="1004" w:end="0"/>
        <w:jc w:val="both"/>
        <w:rPr>
          <w:rFonts w:cs="David"/>
        </w:rPr>
      </w:pPr>
      <w:r>
        <w:rPr>
          <w:rFonts w:ascii="David" w:hAnsi="David" w:eastAsia="David" w:cs="David"/>
          <w:rtl w:val="true"/>
        </w:rPr>
        <w:t>מגמת הפסיקה בשנים האחרונות אחידה ועקבית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ומלמדת על החמרה משמעותית ברמת הענישה המושתת על מבצעי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תוך מתן משקל בכורה לשיקולי הרתעת היחיד והרבים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אף אם מדובר בנאשמים צעירים ונעדרי עבר פלילי</w:t>
      </w:r>
      <w:r>
        <w:rPr>
          <w:rFonts w:eastAsia="David" w:cs="David" w:ascii="David" w:hAnsi="David"/>
          <w:rtl w:val="true"/>
        </w:rPr>
        <w:t>, "</w:t>
      </w:r>
      <w:r>
        <w:rPr>
          <w:rFonts w:ascii="David" w:hAnsi="David" w:eastAsia="David" w:cs="David"/>
          <w:b/>
          <w:b/>
          <w:bCs/>
          <w:rtl w:val="true"/>
        </w:rPr>
        <w:t>בימים קשים אלה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David" w:cs="David" w:ascii="David" w:hAnsi="David"/>
          <w:rtl w:val="true"/>
        </w:rPr>
        <w:t>" (</w:t>
      </w:r>
      <w:hyperlink r:id="rId30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4077/22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פסקה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28.7.2022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להלן</w:t>
      </w:r>
      <w:r>
        <w:rPr>
          <w:rFonts w:eastAsia="David" w:cs="David" w:ascii="David" w:hAnsi="David"/>
          <w:rtl w:val="true"/>
        </w:rPr>
        <w:t xml:space="preserve">:" </w:t>
      </w:r>
      <w:r>
        <w:rPr>
          <w:rFonts w:ascii="David" w:hAnsi="David" w:eastAsia="David" w:cs="David"/>
          <w:rtl w:val="true"/>
        </w:rPr>
        <w:t>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 w:cs="David"/>
          <w:rtl w:val="true"/>
        </w:rPr>
        <w:t xml:space="preserve">פ </w:t>
      </w:r>
      <w:r>
        <w:rPr>
          <w:rFonts w:eastAsia="David" w:cs="David" w:ascii="David" w:hAnsi="David"/>
        </w:rPr>
        <w:t>4077/22</w:t>
      </w:r>
      <w:r>
        <w:rPr>
          <w:rFonts w:eastAsia="David" w:cs="David" w:ascii="David" w:hAnsi="David"/>
          <w:rtl w:val="true"/>
        </w:rPr>
        <w:t xml:space="preserve">"). </w:t>
      </w:r>
      <w:r>
        <w:rPr>
          <w:rFonts w:ascii="David" w:hAnsi="David" w:eastAsia="David" w:cs="David"/>
          <w:rtl w:val="true"/>
        </w:rPr>
        <w:t>מגמת החמרה זו קיבלה ביטוי גם בחקיקה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במסגרת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לחוק בו נקבעו עונשי מינימום לעבירות נשק באשר 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באופן שככלל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העונש שיושת בגין 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לא יפחת מרבע העונש המרבי שנקבע לעבירה </w:t>
      </w:r>
      <w:r>
        <w:rPr>
          <w:rFonts w:eastAsia="David" w:cs="David" w:ascii="David" w:hAnsi="David"/>
          <w:rtl w:val="true"/>
        </w:rPr>
        <w:t>(</w:t>
      </w:r>
      <w:hyperlink r:id="rId31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6496/21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ריאן נגד מדינת ישראל</w:t>
      </w:r>
      <w:r>
        <w:rPr>
          <w:rFonts w:ascii="David" w:hAnsi="David" w:eastAsia="David" w:cs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20.12.2021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 w:cs="David"/>
          <w:rtl w:val="true"/>
        </w:rPr>
        <w:t xml:space="preserve">אמנם החוק אינו חל בענייננו אך יש בו לשקף את רוח מדיניות הענישה בעבירות נשק </w:t>
      </w:r>
      <w:r>
        <w:rPr>
          <w:rFonts w:eastAsia="David" w:cs="David" w:ascii="David" w:hAnsi="David"/>
          <w:rtl w:val="true"/>
        </w:rPr>
        <w:t>[</w:t>
      </w:r>
      <w:hyperlink r:id="rId32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מוחמד 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 w:cs="David"/>
          <w:b/>
          <w:b/>
          <w:bCs/>
          <w:rtl w:val="true"/>
        </w:rPr>
        <w:t>בארין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פסקה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31.5.2022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 w:cs="David"/>
          <w:rtl w:val="true"/>
        </w:rPr>
        <w:t>ב</w:t>
      </w:r>
      <w:hyperlink r:id="rId33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6011/21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חאלד דסוקי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מדנית ישראל</w:t>
      </w:r>
      <w:r>
        <w:rPr>
          <w:rFonts w:ascii="David" w:hAnsi="David" w:eastAsia="David" w:cs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25.11.2021</w:t>
      </w:r>
      <w:r>
        <w:rPr>
          <w:rFonts w:eastAsia="David" w:cs="David" w:ascii="David" w:hAnsi="David"/>
          <w:rtl w:val="true"/>
        </w:rPr>
        <w:t xml:space="preserve">); </w:t>
      </w:r>
      <w:hyperlink r:id="rId34">
        <w:r>
          <w:rPr>
            <w:rStyle w:val="Hyperlink"/>
            <w:rFonts w:ascii="David" w:hAnsi="David" w:eastAsia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eastAsia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eastAsia="David" w:cs="David" w:ascii="David" w:hAnsi="David"/>
          <w:spacing w:val="10"/>
          <w:sz w:val="20"/>
          <w:shd w:fill="FFFFFF" w:val="clear"/>
        </w:rPr>
        <w:t>10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eastAsia="David" w:cs="David" w:ascii="David" w:hAnsi="David"/>
          <w:spacing w:val="10"/>
          <w:sz w:val="20"/>
          <w:shd w:fill="FFFFFF" w:val="clear"/>
        </w:rPr>
        <w:t>28.12.2021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hyperlink r:id="rId35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2283/22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אל נבארי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31.7.2022</w:t>
      </w:r>
      <w:r>
        <w:rPr>
          <w:rFonts w:eastAsia="David" w:cs="David" w:ascii="David" w:hAnsi="David"/>
          <w:rtl w:val="true"/>
        </w:rPr>
        <w:t xml:space="preserve">); </w:t>
      </w:r>
      <w:hyperlink r:id="rId36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78/21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ישראל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26.7.2022</w:t>
      </w:r>
      <w:r>
        <w:rPr>
          <w:rFonts w:eastAsia="David" w:cs="David" w:ascii="David" w:hAnsi="David"/>
          <w:rtl w:val="true"/>
        </w:rPr>
        <w:t xml:space="preserve">); </w:t>
      </w:r>
      <w:hyperlink r:id="rId37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116/13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וקנין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פסקה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31.7.2013</w:t>
      </w:r>
      <w:r>
        <w:rPr>
          <w:rFonts w:eastAsia="David" w:cs="David" w:ascii="David" w:hAnsi="David"/>
          <w:rtl w:val="true"/>
        </w:rPr>
        <w:t xml:space="preserve">)].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עבירות מסחר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ניצבות בראש פירמידת עבירות הנשק בשל מסוכנותן הרבה ופוטנציאל הנזק הגלום בהן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נשק לא חוקי שנרכש ונמכר מתגלגל חיש מהר לגורמים פליליים ועבריניים ואלו עושים בו שימוש קטלני המותיר אחריו תוצאות הרסניות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ופגיעות בגוף ובנפש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עוד מדגישה הפסיקה את החשיבות הרבה בענישת כל אחת ואחת מהחוליות בשרשרת הסחר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גם אם חלקה אינו משמעותי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כל אחת מאותן חוליות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 w:cs="David"/>
          <w:b/>
          <w:b/>
          <w:bCs/>
          <w:rtl w:val="true"/>
        </w:rPr>
        <w:t xml:space="preserve">מחוזקת כמי שמודעת לתוצאות האפשריות הקשות העלולות לנבוע מהשימוש שייעשה בנשק לאחר שיגיע אל 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 w:cs="David"/>
          <w:b/>
          <w:b/>
          <w:bCs/>
          <w:rtl w:val="true"/>
        </w:rPr>
        <w:t>הצרכן הסופי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בקצה השרשרת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eastAsia="David" w:cs="David" w:ascii="David" w:hAnsi="David"/>
          <w:rtl w:val="true"/>
        </w:rPr>
        <w:t xml:space="preserve"> (</w:t>
      </w:r>
      <w:hyperlink r:id="rId38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7268/11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גרבאן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8.8.2012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644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נסיבות מעשי הנאשמים שלפנינו קשות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מעשיהם חמורים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נועזים ומסוכנים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שניהם נטלו חלק פעיל בשרשרת ארוכה של עסקאות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לכל אחד מהם תפקיד אחר בחוליות השרשרת שפעלה להוצאת עסקות מכירת נשק לפועל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b/>
          <w:b/>
          <w:bCs/>
          <w:rtl w:val="true"/>
        </w:rPr>
        <w:t xml:space="preserve">נאשם </w:t>
      </w:r>
      <w:r>
        <w:rPr>
          <w:rFonts w:eastAsia="David" w:cs="David" w:ascii="David" w:hAnsi="David"/>
          <w:b/>
          <w:bCs/>
        </w:rPr>
        <w:t>8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– </w:t>
      </w:r>
      <w:r>
        <w:rPr>
          <w:rFonts w:ascii="David" w:hAnsi="David" w:eastAsia="David" w:cs="David"/>
          <w:rtl w:val="true"/>
        </w:rPr>
        <w:t>תפקידו בביצוע העסקאות אקטיבי ומשמעותי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במהלך תקופה של כחמישה חודשים פעל לקידום עסקאות נשק והוצאתן לפועל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במסגרת האישום ה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נסע בעצמו לאסוף אקדח למטרת מכירה ואף שוחח טלפונית עם מוכרו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הנאשם עשה ככל שיכל כדי להשלים את העסקה וזו לא יצאה לפועל אך בשל סירוב הסוכן לה</w:t>
      </w:r>
      <w:r>
        <w:rPr>
          <w:rFonts w:ascii="David" w:hAnsi="David" w:eastAsia="David" w:cs="David"/>
          <w:rtl w:val="true"/>
        </w:rPr>
        <w:t>י</w:t>
      </w:r>
      <w:r>
        <w:rPr>
          <w:rFonts w:ascii="David" w:hAnsi="David" w:eastAsia="David" w:cs="David"/>
          <w:rtl w:val="true"/>
        </w:rPr>
        <w:t>כנס לשטחי הרשות לאסוף את האקדח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תפקידו במסגרת אישום 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משמעותי אף הוא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הנאשם החזיק בטלפון הנייד שלו תמונות של אקדחים המוצעים למכירה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העבירם לנאשם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לצורך קידום מכירתם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ובהמשך נסע לשטחי הרשות לאסוף אקדח מסוג גלוק טעון במחסנית כדי למוכרו לסוכן עבור סכום נכבד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נאשם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שותפו הוא שהעביר את האקדח לסוכן וביצע את עסקת המכירה אך אין בכך כדי לגרוע משמעותית מחלקו של נאשם זה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את סיועו לביצוע עסקת מכירת הנשק לסוכן יש לראות כסיוע מוגבר ומשמעותי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אף במסגרת תיק הצירוף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פעל לקידום עסקאות בנשק בלתי חוקי וניהל משא ומתן למכירת תחמושת ואקדח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ריבוי העבירות מלמד כי נטוע עמוקות בעולם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מתפרנס מביצוע עבירות בנשק בלתי חוקי ומקיים קשרים ענפים עם גורמים שוליים מתחום הנשק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בנוסף החזיק קנביס בביתו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 xml:space="preserve">אישום </w:t>
      </w:r>
      <w:r>
        <w:rPr>
          <w:rFonts w:eastAsia="David" w:cs="David" w:ascii="David" w:hAnsi="David"/>
        </w:rPr>
        <w:t>29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 w:cs="David"/>
          <w:rtl w:val="true"/>
        </w:rPr>
        <w:t>חלוקתו לשקיות והחזקתו במקומות שונים מלמדת על מעורבות מוגברת גם בעולם הסמים הלא חוקיים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b/>
          <w:b/>
          <w:bCs/>
          <w:rtl w:val="true"/>
        </w:rPr>
        <w:t xml:space="preserve">נאשם </w:t>
      </w:r>
      <w:r>
        <w:rPr>
          <w:rFonts w:eastAsia="David" w:cs="David" w:ascii="David" w:hAnsi="David"/>
          <w:b/>
          <w:bCs/>
        </w:rPr>
        <w:t>13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 w:cs="David"/>
          <w:rtl w:val="true"/>
        </w:rPr>
        <w:t>חלקו שונה מזה של אחיו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נאשם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אך לא ניתן להגדירו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כטענת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בגדר שולי וזניח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הנאשם ביצע את העבירות המיוחסות לו במהלך שלושה 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תרומתו במסגרת אישום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אכן אינה משמעותית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הנאשם פעל בצוותא עם אחרים לקידום עסקה למכירת נשק לסוכן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נסע איתם להביא את האקדח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אך לא מיוחסת לו פעילות אקטיבית ומגע ישיר עם הסוכן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הסיוע המיוחס לו הוא ברף נמוך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בשונה מכך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תרומתו לביצוע העבירה מושא האישום ה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משמעותית יותר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על רקע סירוב הסוכן למתווה מכירת אקדח מול נאשם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נכנס הנאשם לתמונה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שוחח ישירות עם הסוכן ושכנעו להסכים למחיר שהוצע לו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הסוכן העביר לו ולנאשם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עבור האקדח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סך של </w:t>
      </w:r>
      <w:r>
        <w:rPr>
          <w:rFonts w:eastAsia="David" w:cs="David" w:ascii="David" w:hAnsi="David"/>
        </w:rPr>
        <w:t>50,000</w:t>
      </w:r>
      <w:r>
        <w:rPr>
          <w:rFonts w:eastAsia="David" w:cs="David" w:ascii="David" w:hAnsi="David"/>
          <w:rtl w:val="true"/>
        </w:rPr>
        <w:t xml:space="preserve"> ₪, </w:t>
      </w:r>
      <w:r>
        <w:rPr>
          <w:rFonts w:ascii="David" w:hAnsi="David" w:eastAsia="David" w:cs="David"/>
          <w:rtl w:val="true"/>
        </w:rPr>
        <w:t>לא הובהר האם התמורה או חלקה נותרו בחזקתו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בתיק הצירוף קשר קשר עם נאשמים אחרים לקידום עסקאות נשק מסוג רימונים ותחמושת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ללמדנו כי אין מדובר במעורבות אקראית ובסיוע נקודתי לחבר אלא שלנאשם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כמו לאחיו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הייתה מעורבות בעולם הנשק ומול עברייני נשק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eastAsia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cs="David"/>
        </w:rPr>
      </w:pPr>
      <w:r>
        <w:rPr>
          <w:rFonts w:ascii="David" w:hAnsi="David" w:cs="David"/>
          <w:color w:val="000000"/>
          <w:rtl w:val="true"/>
        </w:rPr>
        <w:t xml:space="preserve">על יסוד נסיבות מעשי </w:t>
      </w:r>
      <w:r>
        <w:rPr>
          <w:rFonts w:ascii="David" w:hAnsi="David" w:cs="David"/>
          <w:b/>
          <w:b/>
          <w:bCs/>
          <w:color w:val="000000"/>
          <w:rtl w:val="true"/>
        </w:rPr>
        <w:t>נאשם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מצאתי לקבוע כי פגיעתו בערכים המוגנים היא </w:t>
      </w:r>
      <w:r>
        <w:rPr>
          <w:rFonts w:ascii="David" w:hAnsi="David" w:cs="David"/>
          <w:b/>
          <w:b/>
          <w:bCs/>
          <w:color w:val="000000"/>
          <w:rtl w:val="true"/>
        </w:rPr>
        <w:t>ברף הגבוה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בהקשר זה נתתי דעתי לריבוי 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לחלקו ולפוטנציאל הנזק ממעשיו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חלקו ומעשיו של נאשם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מתונים 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לפיכך מצאתי לקבוע כי פגיעתו בערכים המוגנים היא </w:t>
      </w:r>
      <w:r>
        <w:rPr>
          <w:rFonts w:ascii="David" w:hAnsi="David" w:cs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eastAsia="David" w:cs="David" w:ascii="David" w:hAnsi="David"/>
          <w:color w:val="000000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מדיניות הענישה הנוהגת בעבירות נשק מחמירה ובלתי מתפשרת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הפסיקה מורה כי שיקולי הרתעה וגמול מחייבים ענישה מכבידה ומרתיעה בעבירות ממין דא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בהתאם לעקרון ההלימה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וכי ככלל אין להקל </w:t>
      </w:r>
      <w:r>
        <w:rPr>
          <w:rFonts w:ascii="David" w:hAnsi="David" w:eastAsia="David" w:cs="David"/>
          <w:rtl w:val="true"/>
        </w:rPr>
        <w:t>אף עם נאשמים צעירים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נעדרי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בעלי מאפיינים נורמטיביים </w:t>
      </w:r>
      <w:r>
        <w:rPr>
          <w:rFonts w:cs="David" w:ascii="David" w:hAnsi="David"/>
          <w:color w:val="000000"/>
          <w:rtl w:val="true"/>
        </w:rPr>
        <w:t>(</w:t>
      </w:r>
      <w:hyperlink r:id="rId3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עדאב אבו נאעסה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22.5.2022</w:t>
      </w:r>
      <w:r>
        <w:rPr>
          <w:rFonts w:cs="David" w:ascii="David" w:hAnsi="David"/>
          <w:color w:val="000000"/>
          <w:rtl w:val="true"/>
        </w:rPr>
        <w:t>)).</w:t>
      </w:r>
      <w:r>
        <w:rPr>
          <w:rFonts w:eastAsia="Calibri" w:cs="David" w:ascii="Calibri" w:hAnsi="Calibri"/>
          <w:rtl w:val="true"/>
        </w:rPr>
        <w:t xml:space="preserve"> </w:t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תחילה אבחן את מתחמי הענישה בכל אחת מן העבירות בהן הורשעו הנאשמים ולאחר מכן אקבע מתחם עונש כולל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Calibri" w:hAnsi="Calibri" w:eastAsia="Calibri" w:cs="David"/>
          <w:color w:val="000000"/>
        </w:rPr>
      </w:pPr>
      <w:r>
        <w:rPr>
          <w:rFonts w:eastAsia="Calibri" w:cs="David" w:ascii="Calibri" w:hAnsi="Calibri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1004" w:end="0"/>
        <w:jc w:val="start"/>
        <w:rPr>
          <w:rFonts w:ascii="David" w:hAnsi="David" w:cs="David"/>
          <w:color w:val="000000"/>
          <w:u w:val="single"/>
        </w:rPr>
      </w:pPr>
      <w:r>
        <w:rPr>
          <w:rFonts w:ascii="David" w:hAnsi="David" w:cs="David"/>
          <w:color w:val="000000"/>
          <w:u w:val="single"/>
          <w:rtl w:val="true"/>
        </w:rPr>
        <w:t>מתחם הענישה בעבירת ניסיון לסחר בנשק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  <w:u w:val="single"/>
        </w:rPr>
      </w:pPr>
      <w:r>
        <w:rPr>
          <w:rFonts w:cs="David" w:ascii="David" w:hAnsi="David"/>
          <w:color w:val="000000"/>
          <w:u w:val="single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ענישת ניסיון למכירת נשק אינה שונה משמעותית מהענישה המוטלת על מי שהשלים את ביצוע עבירת 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כל שכן בעניינו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שהורשע בעבירת ניסיון לסחר על גבול העבירה המושלמת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עשה ככל שניתן כדי להשלימה אך זו לא צלחה אך בשל סירוב הסוכן לצאת את גבולות הארץ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color w:val="000000"/>
          <w:rtl w:val="true"/>
        </w:rPr>
        <w:t>ב</w:t>
      </w:r>
      <w:hyperlink r:id="rId40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4377/22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וערעור שכנגד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 xml:space="preserve">נדון במאוחד עם </w:t>
      </w:r>
      <w:hyperlink r:id="rId4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>פלוני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 w:cs="David"/>
          <w:color w:val="000000"/>
          <w:rtl w:val="true"/>
        </w:rPr>
        <w:t xml:space="preserve">נדון נאשם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המכונה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בפסק הדין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 xml:space="preserve">בגין עבירת סחר בנשק ועבירה של החזקת נשק ונשיאתו למאסר בן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נאשם הנוסף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ר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 w:cs="David"/>
          <w:color w:val="000000"/>
          <w:rtl w:val="true"/>
        </w:rPr>
        <w:t xml:space="preserve">נדון בגין שתי עבירות של סחר בנשק למאסר בן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ב</w:t>
      </w:r>
      <w:hyperlink r:id="rId4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נדון הנאשם בגין שתי עבירות של סחר בנשק למאסר </w:t>
      </w:r>
      <w:hyperlink r:id="rId4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בן </w:t>
        </w:r>
        <w:r>
          <w:rPr>
            <w:rStyle w:val="Hyperlink"/>
            <w:rFonts w:cs="David" w:ascii="David" w:hAnsi="David"/>
            <w:color w:val="0000FF"/>
            <w:u w:val="single"/>
          </w:rPr>
          <w:t>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שנים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בית המשפט העליון </w:t>
        </w:r>
      </w:hyperlink>
      <w:r>
        <w:rPr>
          <w:rFonts w:ascii="David" w:hAnsi="David" w:cs="David"/>
          <w:color w:val="000000"/>
          <w:rtl w:val="true"/>
        </w:rPr>
        <w:t xml:space="preserve"> דחה את ערעורו של הנאשם ב</w:t>
      </w:r>
      <w:hyperlink r:id="rId4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וקבע כי מדובר בעונש מידתי וראוי בשים לב שמדובר במכירת נשק שהוכנס לשטחה של המדינה לשם שימוש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באשר לעונשם של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 w:cs="David"/>
          <w:color w:val="000000"/>
          <w:rtl w:val="true"/>
        </w:rPr>
        <w:t>ר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 w:cs="David"/>
          <w:color w:val="000000"/>
          <w:rtl w:val="true"/>
        </w:rPr>
        <w:t xml:space="preserve">מצא לקבל את ערעור המדינה 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נקבע כי אלו סוטים לקולא במידה ניכרת מאמות המידה שקבעה הפסיקה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וכי ראוי היה להטיל על ר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מאסר בן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שנים ועל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מאסר בן ארבע 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אך מהטעם שאין זה ראוי יהיה למצות עימם את הדין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נגזרו עליהם מאסרים בני </w:t>
      </w:r>
      <w:r>
        <w:rPr>
          <w:rFonts w:cs="David" w:ascii="David" w:hAnsi="David"/>
          <w:color w:val="000000"/>
        </w:rPr>
        <w:t>46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 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 בהתאמה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1004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1004" w:end="0"/>
        <w:jc w:val="start"/>
        <w:rPr/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בת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 w:cs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 w:cs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17766-12-20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מחאגנה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9.12.2021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 xml:space="preserve">הורשע הנאשם בעבירת ניסיון סחר בנשק מסוג תת מקלע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 w:cs="David"/>
          <w:color w:val="000000"/>
          <w:rtl w:val="true"/>
        </w:rPr>
        <w:t>קרל גוסטב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 w:cs="David"/>
          <w:color w:val="000000"/>
          <w:rtl w:val="true"/>
        </w:rPr>
        <w:t xml:space="preserve">נקבע מתחם הנע בין </w:t>
      </w:r>
      <w:r>
        <w:rPr>
          <w:rFonts w:cs="David" w:ascii="David" w:hAnsi="David"/>
          <w:color w:val="000000"/>
        </w:rPr>
        <w:t>36-18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צעיר בן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בעת 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ללא עבר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בפועל בן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>;</w:t>
      </w:r>
    </w:p>
    <w:p>
      <w:pPr>
        <w:pStyle w:val="ListParagraph"/>
        <w:spacing w:lineRule="auto" w:line="360"/>
        <w:ind w:start="1004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color w:val="000000"/>
          <w:rtl w:val="true"/>
        </w:rPr>
        <w:t>ב</w:t>
      </w:r>
      <w:hyperlink r:id="rId4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35608-04-18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יזן קורד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14.10.2018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 xml:space="preserve">הורשע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בעבירת ניסיון לסחר בנשק מסוג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המאשימה הגבילה עצמה לעונש של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נקבע מתחם הנע בין </w:t>
      </w:r>
      <w:r>
        <w:rPr>
          <w:rFonts w:cs="David" w:ascii="David" w:hAnsi="David"/>
          <w:color w:val="000000"/>
        </w:rPr>
        <w:t>24-12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צעיר ללא עבר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; </w:t>
      </w:r>
    </w:p>
    <w:p>
      <w:pPr>
        <w:pStyle w:val="Normal"/>
        <w:spacing w:lineRule="auto" w:line="360"/>
        <w:ind w:hanging="709" w:start="8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ListParagraph"/>
        <w:spacing w:lineRule="auto" w:line="360"/>
        <w:ind w:start="1004" w:end="0"/>
        <w:jc w:val="both"/>
        <w:rPr>
          <w:rFonts w:ascii="Arial" w:hAnsi="Arial" w:cs="David"/>
        </w:rPr>
      </w:pPr>
      <w:r>
        <w:rPr>
          <w:rFonts w:ascii="David" w:hAnsi="David" w:cs="David"/>
          <w:color w:val="000000"/>
          <w:rtl w:val="true"/>
        </w:rPr>
        <w:t>ב</w:t>
      </w:r>
      <w:hyperlink r:id="rId4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4664-01-20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אגבאריה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22.7.2020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>הורשע נאשם בעבירת ניסיון לסחר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לאחר שקשר קשר עם אחר למכור עבורו כלי נשק מסוגים שונים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הצדדים הסכימו על טווח ענישה הנע בין </w:t>
      </w:r>
      <w:r>
        <w:rPr>
          <w:rFonts w:cs="David" w:ascii="David" w:hAnsi="David"/>
          <w:color w:val="000000"/>
        </w:rPr>
        <w:t>21-14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בית המשפט קבע כי טווח הענישה ראוי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צעיר ללא עבר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; </w:t>
      </w:r>
    </w:p>
    <w:p>
      <w:pPr>
        <w:pStyle w:val="ListParagraph"/>
        <w:spacing w:lineRule="auto" w:line="360"/>
        <w:ind w:start="1004" w:end="0"/>
        <w:jc w:val="both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ב</w:t>
      </w:r>
      <w:hyperlink r:id="rId4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4676-01-20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אסמאעיל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17.1.2021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>נדונו שני נאשמים שהורשעו בעבירות ניסיון לעסקה אחרת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קשירת קשר 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הורשע בנוסף בניסיון סחר לנשק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למאסר בן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 w:cs="David"/>
          <w:u w:val="single"/>
          <w:rtl w:val="true"/>
        </w:rPr>
        <w:t>מתחם הענישה בעבירת סיוע לסחר בנשק</w:t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eastAsia="David" w:cs="David"/>
          <w:color w:val="000000"/>
          <w:u w:val="single"/>
        </w:rPr>
      </w:pPr>
      <w:r>
        <w:rPr>
          <w:rFonts w:eastAsia="David" w:cs="David" w:ascii="David" w:hAnsi="David"/>
          <w:color w:val="000000"/>
          <w:u w:val="single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rtl w:val="true"/>
        </w:rPr>
        <w:t>ב</w:t>
      </w:r>
      <w:hyperlink r:id="rId48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4377/22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28.7.22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שהוזכר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נדון גם עניינו של מ</w:t>
      </w:r>
      <w:r>
        <w:rPr>
          <w:rFonts w:eastAsia="David" w:cs="David" w:ascii="David" w:hAnsi="David"/>
          <w:rtl w:val="true"/>
        </w:rPr>
        <w:t>' (</w:t>
      </w:r>
      <w:r>
        <w:rPr>
          <w:rFonts w:ascii="David" w:hAnsi="David" w:eastAsia="David" w:cs="David"/>
          <w:rtl w:val="true"/>
        </w:rPr>
        <w:t>ערעור וערעור שכנגד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 w:cs="David"/>
          <w:rtl w:val="true"/>
        </w:rPr>
        <w:t xml:space="preserve">שהורשע </w:t>
      </w:r>
      <w:r>
        <w:rPr>
          <w:rFonts w:ascii="David" w:hAnsi="David" w:eastAsia="David" w:cs="David"/>
          <w:b/>
          <w:b/>
          <w:bCs/>
          <w:rtl w:val="true"/>
        </w:rPr>
        <w:t>בעבירה אחת של סיוע לסחר בנשק</w:t>
      </w:r>
      <w:r>
        <w:rPr>
          <w:rFonts w:ascii="David" w:hAnsi="David" w:eastAsia="David" w:cs="David"/>
          <w:rtl w:val="true"/>
        </w:rPr>
        <w:t xml:space="preserve"> ובעבירה אחת של החזקה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הובלה ונשיאת נשק בצוותא חדא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בגינן נדון למאסר </w:t>
      </w:r>
      <w:hyperlink r:id="rId49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בן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19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חודשים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בית המשפט העליון </w:t>
        </w:r>
      </w:hyperlink>
      <w:r>
        <w:rPr>
          <w:rFonts w:ascii="David" w:hAnsi="David" w:eastAsia="David" w:cs="David"/>
          <w:rtl w:val="true"/>
        </w:rPr>
        <w:t xml:space="preserve"> קיבל את ערעור המדינה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קבע שתרומתו לעסקאות הנשק שכללה הובלת המעורבים למקום ביצוע העסקה והעברת הנשק עצמו לקונה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מוחשית וכי ראוי היה להשית עליו עונש מאסר בן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 xml:space="preserve">פסקה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 w:cs="David"/>
          <w:rtl w:val="true"/>
        </w:rPr>
        <w:t>מבלי למצות את הדין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הוחמר עונשו כך שיעמוד על </w:t>
      </w:r>
      <w:r>
        <w:rPr>
          <w:rFonts w:eastAsia="David" w:cs="David" w:ascii="David" w:hAnsi="David"/>
        </w:rPr>
        <w:t>25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;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rtl w:val="true"/>
        </w:rPr>
        <w:t>ב</w:t>
      </w:r>
      <w:hyperlink r:id="rId50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8045/17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בראנסי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16.8.18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 w:cs="David"/>
          <w:rtl w:val="true"/>
        </w:rPr>
        <w:t>נדונו ערעור וערעור שכנגד בעניין נאשמים רבים שהורשעו בעבירות סחר ועסקאות בנשק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rtl w:val="true"/>
        </w:rPr>
        <w:t xml:space="preserve">נאשם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 w:cs="David"/>
          <w:rtl w:val="true"/>
        </w:rPr>
        <w:t xml:space="preserve">משיב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ב</w:t>
      </w:r>
      <w:hyperlink r:id="rId51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999/18</w:t>
        </w:r>
      </w:hyperlink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 w:cs="David"/>
          <w:rtl w:val="true"/>
        </w:rPr>
        <w:t>הורשע בעבירת סיוע לסחר בנשק בגין מעורבותו בעסקה במסגרתה נמכרו קלאצ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 w:cs="David"/>
          <w:rtl w:val="true"/>
        </w:rPr>
        <w:t>ניקוב ושתי מחסניות תואמות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נקבע מתחם ענישה הנע בין </w:t>
      </w:r>
      <w:r>
        <w:rPr>
          <w:rFonts w:eastAsia="David" w:cs="David" w:ascii="David" w:hAnsi="David"/>
        </w:rPr>
        <w:t>20-8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גילו 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לחובתו עבר פלילי רלוונטי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נדון למאסר בן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ערעור המדינה התקבל ועונשו הוחמר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rtl w:val="true"/>
        </w:rPr>
        <w:t>ב</w:t>
      </w:r>
      <w:hyperlink r:id="rId52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3569/22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 xml:space="preserve">חדיד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23.6.22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 w:cs="David"/>
          <w:rtl w:val="true"/>
        </w:rPr>
        <w:t xml:space="preserve">המשיב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הורשע בעבירת סיוע לסחר בנשק מסוג </w:t>
      </w:r>
      <w:r>
        <w:rPr>
          <w:rFonts w:eastAsia="David" w:cs="David" w:ascii="David" w:hAnsi="David"/>
        </w:rPr>
        <w:t>M-16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המשיב נסע עם סוכן משטרתי ונאשם נוסף לבצע את עסקת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הציג לסוכן תמונות של כלי נשק שונים למכירה והנחה את הנאשם האחר לנסוע לחיפה לצורך ביצוע העסקה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נקבע מתחם ענישה הנע בין </w:t>
      </w:r>
      <w:r>
        <w:rPr>
          <w:rFonts w:eastAsia="David" w:cs="David" w:ascii="David" w:hAnsi="David"/>
        </w:rPr>
        <w:t>36-14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בית המשפט המחוזי השית עליו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בהתחשב בעברו הפלילי המשמעותי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בית המשפט העליון קיבל את ערעור המדינה והעמיד עונשו על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תוך שקבע את הדברים הבאים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>פס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):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 w:cs="David"/>
          <w:b/>
          <w:b/>
          <w:bCs/>
          <w:rtl w:val="true"/>
        </w:rPr>
        <w:t>אכן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rtl w:val="true"/>
        </w:rPr>
        <w:t>המערערים לא הורשעו בסחר בעבירות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rtl w:val="true"/>
        </w:rPr>
        <w:t>אלא בעבירה נגזרת של סיוע לסחר בנשק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rtl w:val="true"/>
        </w:rPr>
        <w:t>אך מגמת ההחמרה בענישה פורסת מצודתה על כל חוליה וחוליה ב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 w:cs="David"/>
          <w:b/>
          <w:b/>
          <w:bCs/>
          <w:rtl w:val="true"/>
        </w:rPr>
        <w:t>שרשרת הנשק</w:t>
      </w:r>
      <w:r>
        <w:rPr>
          <w:rFonts w:eastAsia="David" w:cs="David" w:ascii="David" w:hAnsi="David"/>
          <w:b/>
          <w:bCs/>
          <w:rtl w:val="true"/>
        </w:rPr>
        <w:t>""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eastAsia="David" w:cs="David"/>
          <w:rtl w:val="true"/>
        </w:rPr>
        <w:t>ב</w:t>
      </w:r>
      <w:hyperlink r:id="rId53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691/22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גריפאת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15.12.22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 w:cs="David"/>
          <w:rtl w:val="true"/>
        </w:rPr>
        <w:t>נדחה ערעור המערער שהורשע בסיוע לסחר בנשק בהיותו עצור מאחורי סורג ובריח בתיק אחר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נקבע מתחם הנע בין </w:t>
      </w:r>
      <w:r>
        <w:rPr>
          <w:rFonts w:eastAsia="David" w:cs="David" w:ascii="David" w:hAnsi="David"/>
        </w:rPr>
        <w:t>24-10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בעל עבר פלילי כבד וקשה רלוונטי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נדון למאסר בן </w:t>
      </w:r>
      <w:r>
        <w:rPr>
          <w:rFonts w:eastAsia="David" w:cs="David" w:ascii="David" w:hAnsi="David"/>
        </w:rPr>
        <w:t>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;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eastAsia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הנאשמים הורשעו במסגרת פרשיות מרובות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ולפיכך יש להתחשב גם בעונשים שנגזרו על הנאשמים האחרים בתיק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rtl w:val="true"/>
        </w:rPr>
        <w:t>יפים לענייננו דברים שנאמרו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השופט מינץ במסגרת ערעורים וערעורים שכנגד שהוגשו כנגד עונשים שנגזרו על נאשמים בפרשה דומה של סחר בנשק ובתחמושת </w:t>
      </w:r>
      <w:r>
        <w:rPr>
          <w:rFonts w:cs="David" w:ascii="David" w:hAnsi="David"/>
          <w:rtl w:val="true"/>
        </w:rPr>
        <w:t>(</w:t>
      </w:r>
      <w:hyperlink r:id="rId5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בראנסי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16.8.2018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440" w:end="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כאשר מורשעים מספר רב של נאשמים בעבירות דומות שהן חלק מפרשה אחת אשר נחשפו כולן 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י פעילותו של סוכן משטרתי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קיימת חשיבות מוגברת לעיקרון אחידות הענישה</w:t>
      </w:r>
      <w:r>
        <w:rPr>
          <w:rFonts w:cs="David" w:ascii="David" w:hAnsi="David"/>
          <w:b/>
          <w:bCs/>
          <w:rtl w:val="true"/>
        </w:rPr>
        <w:t>" (</w:t>
      </w:r>
      <w:hyperlink r:id="rId55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5814/14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עספור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14.6.2015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 w:cs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מלאכת גזירת העונש אינה בגדר מדע מדויק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ויש לקחת בחשבון גם את המסכת העובדתית הרלוונטית לכל נאשם – כמות כלי הנשק שנמכרה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מספר העסקאות שבוצעו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חלקו של כל נאשם באירועים מושא כתב האישום –ואת נסיבותיהם האישיות של כל אחד מהם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004" w:end="567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רובם של הנאשמים הורשעו בעבירות חמורות יותר מאלו שהורשעו הנאשמים שבפנינו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אפנה בין היתר לעונשו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שהורשע בשתי עבירות סחר בנשק בצוותא וקשירת קשר לביצוע עסקה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בעניינו עותרים הצדדים במשותף למאסר בן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וחצי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הורשע בשלוש עבירות של סחר בנשק ועבירת קשירת קשר ונדון במסגרת הסדר טיעון למאסר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וארבעה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004" w:end="567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cs="David"/>
          <w:color w:val="000000"/>
          <w:u w:val="single"/>
          <w:rtl w:val="true"/>
        </w:rPr>
        <w:t>מתחם הענישה בעבירת ניסיון לעסקה אחרת בנשק</w:t>
      </w:r>
    </w:p>
    <w:p>
      <w:pPr>
        <w:pStyle w:val="ListParagraph"/>
        <w:ind w:start="1004" w:end="0"/>
        <w:jc w:val="start"/>
        <w:rPr>
          <w:rFonts w:ascii="David" w:hAnsi="David" w:cs="David"/>
          <w:color w:val="000000"/>
          <w:u w:val="single"/>
        </w:rPr>
      </w:pPr>
      <w:r>
        <w:rPr>
          <w:rFonts w:cs="David" w:ascii="David" w:hAnsi="David"/>
          <w:color w:val="000000"/>
          <w:u w:val="single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color w:val="000000"/>
          <w:rtl w:val="true"/>
        </w:rPr>
        <w:t>ב</w:t>
      </w:r>
      <w:hyperlink r:id="rId5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מורייחי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23.11.20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 w:cs="David"/>
          <w:color w:val="000000"/>
          <w:rtl w:val="true"/>
        </w:rPr>
        <w:t>נדחה ערעור המערער שהורשע בעבירת ניסיון לעסקה אחרת בנשק – מכירת אקדח משטחי הרשות הפלשתינית לישראל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נקבע שהנאשם היה גורם מרכזי ודומיננטי בהוצאת העסקה לפועל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נקבע מתחם ענישה הנע בין </w:t>
      </w:r>
      <w:r>
        <w:rPr>
          <w:rFonts w:cs="David" w:ascii="David" w:hAnsi="David"/>
          <w:color w:val="000000"/>
        </w:rPr>
        <w:t>52-18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המערער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בעל עבר פלילי רלוונטי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color w:val="000000"/>
          <w:rtl w:val="true"/>
        </w:rPr>
        <w:t>ב</w:t>
      </w:r>
      <w:hyperlink r:id="rId5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20143-07-20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אבר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19.7.21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הורשע בריבוי עבירות ניסיון עסקאות אחרות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נקבע מתחם ענישה הנע בין </w:t>
      </w:r>
      <w:r>
        <w:rPr>
          <w:rFonts w:cs="David" w:ascii="David" w:hAnsi="David"/>
          <w:color w:val="000000"/>
        </w:rPr>
        <w:t>46-18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צעיר ללא עבר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למאבק בן </w:t>
      </w:r>
      <w:r>
        <w:rPr>
          <w:rFonts w:cs="David" w:ascii="David" w:hAnsi="David"/>
          <w:color w:val="000000"/>
        </w:rPr>
        <w:t>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; </w:t>
      </w:r>
    </w:p>
    <w:p>
      <w:pPr>
        <w:pStyle w:val="ListParagraph"/>
        <w:ind w:start="1004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b/>
          <w:b/>
          <w:bCs/>
          <w:color w:val="000000"/>
          <w:rtl w:val="true"/>
        </w:rPr>
        <w:t>עוד אפנה לעונשם של נאשמים אחרים בתיק הצירוף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 w:cs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59530-02-22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אבו 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rtl w:val="true"/>
        </w:rPr>
        <w:t>אבר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>שנדונו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במסגרת הסדרי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בגין עבירות בנסיבות דומות לנסיבות עבירותיו של הנאשם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לעונשי מאסר בני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כך למשל </w:t>
      </w:r>
      <w:r>
        <w:rPr>
          <w:rFonts w:ascii="David" w:hAnsi="David" w:cs="David"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color w:val="000000"/>
          <w:u w:val="single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הורשע בשתי עבירות של ניסיון לביצוע עסקה אחרת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אקדח ותת מקלע קרלו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>עברו הפלילי כולל שלוש הרשעות קודמות בעבירות אלימות חמורות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חודשים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 xml:space="preserve">גזר דין מיום </w:t>
      </w:r>
      <w:r>
        <w:rPr>
          <w:rFonts w:cs="David" w:ascii="David" w:hAnsi="David"/>
          <w:color w:val="000000"/>
        </w:rPr>
        <w:t>15.9.22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 w:cs="David"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color w:val="000000"/>
          <w:u w:val="single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הורשע אף הוא בשתי עבירות ניסיון לביצוע עסקה אחרת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אקדח ונשק מסוג לא ידוע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>לחובתו עבר לא רלוונטי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חודשים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 xml:space="preserve">גזר דין מיום </w:t>
      </w:r>
      <w:r>
        <w:rPr>
          <w:rFonts w:cs="David" w:ascii="David" w:hAnsi="David"/>
          <w:color w:val="000000"/>
        </w:rPr>
        <w:t>15.9.22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 w:cs="David"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color w:val="000000"/>
          <w:u w:val="single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הורשע בשתי עבירות ניסיון לביצוע עסקה אחרת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רימונים ואקדח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>לחובתו עבר פלילי רלוונטי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חודשים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 xml:space="preserve">גזר דין מיום </w:t>
      </w:r>
      <w:r>
        <w:rPr>
          <w:rFonts w:cs="David" w:ascii="David" w:hAnsi="David"/>
          <w:color w:val="000000"/>
        </w:rPr>
        <w:t>20.10.22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 w:cs="David"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color w:val="000000"/>
          <w:u w:val="single"/>
        </w:rPr>
        <w:t>10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הורשע בעבירה אחת של ניסיון לביצוע עסקה אחרת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חודשים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 xml:space="preserve">גזר דין מיום </w:t>
      </w:r>
      <w:r>
        <w:rPr>
          <w:rFonts w:cs="David" w:ascii="David" w:hAnsi="David"/>
          <w:color w:val="000000"/>
        </w:rPr>
        <w:t>21.11.22</w:t>
      </w:r>
      <w:r>
        <w:rPr>
          <w:rFonts w:cs="David" w:ascii="David" w:hAnsi="David"/>
          <w:color w:val="000000"/>
          <w:rtl w:val="true"/>
        </w:rPr>
        <w:t xml:space="preserve">).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ind w:start="1004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/>
      </w:pPr>
      <w:r>
        <w:rPr>
          <w:rFonts w:ascii="David" w:hAnsi="David" w:cs="David"/>
          <w:u w:val="single"/>
          <w:rtl w:val="true"/>
        </w:rPr>
        <w:t>בעבירת החזקת סם מסוכן מסוג קנבוס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במשקל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גרם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u w:val="single"/>
          <w:rtl w:val="true"/>
        </w:rPr>
        <w:t xml:space="preserve">  </w:t>
      </w:r>
      <w:r>
        <w:rPr>
          <w:rFonts w:ascii="David" w:hAnsi="David" w:cs="David"/>
          <w:rtl w:val="true"/>
        </w:rPr>
        <w:t xml:space="preserve">המתחם נע בין מספר חודשי מאסר בעבודות שירות ועד למאסר בפועל 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ראה למשל </w:t>
      </w:r>
      <w:hyperlink r:id="rId5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ק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21806-01-19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חדד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14.6.20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וההפניות המוזכרות 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004" w:end="0"/>
        <w:jc w:val="both"/>
        <w:rPr>
          <w:rFonts w:ascii="Arial" w:hAnsi="Arial" w:cs="David"/>
        </w:rPr>
      </w:pPr>
      <w:r>
        <w:rPr>
          <w:rFonts w:ascii="David" w:hAnsi="David" w:cs="David"/>
          <w:u w:val="single"/>
          <w:rtl w:val="true"/>
        </w:rPr>
        <w:t>בעבירת קשירת קשר לפשע</w:t>
      </w:r>
      <w:r>
        <w:rPr>
          <w:rFonts w:ascii="David" w:hAnsi="David" w:cs="David"/>
          <w:rtl w:val="true"/>
        </w:rPr>
        <w:t xml:space="preserve"> לביצוע עסקה בנשק המתחם נע בין מספר חודשי מאסר בעבודות שירות ועד למאסר בפועל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ראה גזרי דין שניתנו בבית משפט זה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17229-06-21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מטרי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14.9.21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10.5.22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31.5.22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7.11.22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 w:cs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63141-04-21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נאשף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14.2.22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23.11.21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7.12.21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 w:cs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34015-11-21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ריאן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18.12.22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start="1004" w:end="0"/>
        <w:jc w:val="both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04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u w:val="single"/>
          <w:rtl w:val="true"/>
        </w:rPr>
        <w:t>קביעת מתחם העונש ההולם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בהינתן נסיבות מעשי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מדיניות הענישה הנוהגת ופגיעתם המשמעותית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אני קובעת  מתחם עונש כולל הנע בין </w:t>
      </w:r>
      <w:r>
        <w:rPr>
          <w:rFonts w:cs="David" w:ascii="David" w:hAnsi="David"/>
          <w:b/>
          <w:bCs/>
          <w:u w:val="single"/>
        </w:rPr>
        <w:t>72-48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חודשי מאסר בפועל ולנאשם </w:t>
      </w:r>
      <w:r>
        <w:rPr>
          <w:rFonts w:cs="David" w:ascii="David" w:hAnsi="David"/>
          <w:b/>
          <w:bCs/>
          <w:u w:val="single"/>
        </w:rPr>
        <w:t>13</w:t>
      </w:r>
      <w:r>
        <w:rPr>
          <w:rFonts w:cs="David" w:ascii="David" w:hAnsi="David"/>
          <w:b/>
          <w:bCs/>
          <w:u w:val="single"/>
          <w:rtl w:val="true"/>
        </w:rPr>
        <w:t xml:space="preserve"> ,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מתחם עונש כולל הנע בין </w:t>
      </w:r>
      <w:r>
        <w:rPr>
          <w:rFonts w:cs="David" w:ascii="David" w:hAnsi="David"/>
          <w:b/>
          <w:bCs/>
          <w:u w:val="single"/>
        </w:rPr>
        <w:t>52-30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644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לנאשמים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, </w:t>
      </w:r>
      <w:r>
        <w:rPr>
          <w:rFonts w:ascii="David" w:hAnsi="David" w:cs="David"/>
          <w:color w:val="000000"/>
          <w:rtl w:val="true"/>
        </w:rPr>
        <w:t xml:space="preserve">יליד </w:t>
      </w:r>
      <w:r>
        <w:rPr>
          <w:rFonts w:cs="David" w:ascii="David" w:hAnsi="David"/>
          <w:color w:val="000000"/>
        </w:rPr>
        <w:t>1996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מרצה כיום עונש מאסר בגין הרשעתו בעבירת נשיאת אקדח טעון במחסנית ובה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כדורים </w:t>
      </w:r>
      <w:r>
        <w:rPr>
          <w:rFonts w:cs="David" w:ascii="David" w:hAnsi="David"/>
          <w:color w:val="000000"/>
          <w:rtl w:val="true"/>
        </w:rPr>
        <w:t>(</w:t>
      </w:r>
      <w:hyperlink r:id="rId5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30190-06-20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סרסור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סומן תע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 w:cs="David"/>
          <w:color w:val="000000"/>
          <w:rtl w:val="true"/>
        </w:rPr>
        <w:t xml:space="preserve">כעולה מגזר דינו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שניתן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 w:cs="David"/>
          <w:color w:val="000000"/>
          <w:rtl w:val="true"/>
        </w:rPr>
        <w:t>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השופט טרסי ביום </w:t>
      </w:r>
      <w:r>
        <w:rPr>
          <w:rFonts w:cs="David" w:ascii="David" w:hAnsi="David"/>
          <w:color w:val="000000"/>
        </w:rPr>
        <w:t>10.5.22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8.12.20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הוצג הסדר טיעון במסגרתו הופנה לשירות מבחן לעריכת 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המאשימה הצהירה כי תעתור לעונש ראוי של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 בפועל וההגנה חופשית בטיעוניה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את העבירות מושא תיקים אלו ביצע בעודו נתון בטיפול שירות 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בתסקיריו שלל נזקקות טיפולית והוערך כי נשקף ממנו סיכון להישנות ביצוע 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לאחר שנעצר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גובש בין הצדדים הסדר משלים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ועל בסיסו עתרו הצדדים למאסר בן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חודשים אותו מרצה כעת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הסתבכויותיו החוזרות של הנאשם עם החוק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מלמדות כי נטוע עמוקבעולם הנשק הבלתי חוקי ועל סיכון מוחשי הנשקף הימנו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העבירות מושא גזר הדין בוצעו כשנה לאחר שנ</w:t>
      </w:r>
      <w:r>
        <w:rPr>
          <w:rFonts w:ascii="David" w:hAnsi="David" w:cs="David"/>
          <w:color w:val="000000"/>
          <w:rtl w:val="true"/>
        </w:rPr>
        <w:t>עצר</w:t>
      </w:r>
      <w:r>
        <w:rPr>
          <w:rFonts w:ascii="David" w:hAnsi="David" w:cs="David"/>
          <w:color w:val="000000"/>
          <w:rtl w:val="true"/>
        </w:rPr>
        <w:t xml:space="preserve"> נושא נשק טעון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וכחצי שנה לאחר הרשעתו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ללמדנו כי אין מדובר באפיזודה עבריינית קצרה וכי ההליך המשפטי שהתנהל נגדו לא הרתיעו מביצוע עבירות נוספות במקביל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הנאשם אף לא השכיל לנצל את הפנייתו לשירות המבחן כדי לשפר את מצבו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יליד </w:t>
      </w:r>
      <w:r>
        <w:rPr>
          <w:rFonts w:cs="David" w:ascii="David" w:hAnsi="David"/>
          <w:color w:val="000000"/>
        </w:rPr>
        <w:t>1997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עברו נקי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עצור עד תום ההליכים כשנה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לזכותם אתחשב בהודאתם ובחיסכון בזמן 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הודאתם שבאה בשלב מוקדם יחסית של ההליך תיזקף לזכותם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 w:before="0" w:after="160"/>
        <w:ind w:start="1004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ascii="David" w:hAnsi="David"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המפורטות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. </w:t>
      </w:r>
      <w:r>
        <w:rPr>
          <w:rFonts w:ascii="David" w:hAnsi="David" w:cs="David"/>
          <w:rtl w:val="true"/>
        </w:rPr>
        <w:t>אין מקום לחפיפת עונשו למאסרו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דומה שאין חולק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כי נגזר עליו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בתיק שבו מרצה כעת את מאסרו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עונש שאינו חמור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את נאשם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אמקם בחלק התחתון של המתחם אך לא בתחתיתו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עוד נתתי דעתי לשיקולי הרתעת היחיד והרבים וזאת נוכח שכיחותן הרבה של עבירות הנשק והחשיבות הציבורית במיגורן </w:t>
      </w:r>
      <w:r>
        <w:rPr>
          <w:rFonts w:cs="David" w:ascii="David" w:hAnsi="David"/>
          <w:rtl w:val="true"/>
        </w:rPr>
        <w:t>(</w:t>
      </w:r>
      <w:hyperlink r:id="rId6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1004" w:end="0"/>
        <w:jc w:val="both"/>
        <w:rPr>
          <w:rFonts w:ascii="David" w:hAnsi="David" w:cs="David"/>
        </w:rPr>
      </w:pP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ממעורבותם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04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אשר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כן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גוזרת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הבאים</w:t>
      </w:r>
      <w:r>
        <w:rPr>
          <w:rFonts w:cs="David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714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11.1.22</w:t>
      </w:r>
      <w:r>
        <w:rPr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</w:t>
      </w:r>
      <w:r>
        <w:rPr/>
        <w:t>8</w:t>
      </w:r>
      <w:r>
        <w:rPr/>
        <w:t>.23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11.1.22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</w:rPr>
      </w:pP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</w:t>
      </w:r>
      <w:r>
        <w:rPr/>
        <w:t>8</w:t>
      </w:r>
      <w:r>
        <w:rPr/>
        <w:t>.23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48176-01-22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מוסטפא סרסור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04" w:hanging="360"/>
      </w:pPr>
      <w:rPr>
        <w:b w:val="false"/>
        <w:bCs w:val="false"/>
        <w:rFonts w:ascii="Times New Roman" w:hAnsi="Times New Roman" w:eastAsia="Times New Roman"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974" TargetMode="External"/><Relationship Id="rId3" Type="http://schemas.openxmlformats.org/officeDocument/2006/relationships/hyperlink" Target="http://www.nevo.co.il/safrut/book/97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49.a.1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.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25;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4216/7.a.;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/449.a.1" TargetMode="External"/><Relationship Id="rId25" Type="http://schemas.openxmlformats.org/officeDocument/2006/relationships/hyperlink" Target="http://www.nevo.co.il/case/26751351" TargetMode="External"/><Relationship Id="rId26" Type="http://schemas.openxmlformats.org/officeDocument/2006/relationships/hyperlink" Target="http://www.nevo.co.il/case/17954235" TargetMode="External"/><Relationship Id="rId27" Type="http://schemas.openxmlformats.org/officeDocument/2006/relationships/hyperlink" Target="http://www.nevo.co.il/case/28266138" TargetMode="External"/><Relationship Id="rId28" Type="http://schemas.openxmlformats.org/officeDocument/2006/relationships/hyperlink" Target="http://www.nevo.co.il/case/28384637" TargetMode="External"/><Relationship Id="rId29" Type="http://schemas.openxmlformats.org/officeDocument/2006/relationships/hyperlink" Target="http://www.nevo.co.il/case/28243273" TargetMode="External"/><Relationship Id="rId30" Type="http://schemas.openxmlformats.org/officeDocument/2006/relationships/hyperlink" Target="http://www.nevo.co.il/case/28697227" TargetMode="External"/><Relationship Id="rId31" Type="http://schemas.openxmlformats.org/officeDocument/2006/relationships/hyperlink" Target="http://www.nevo.co.il/case/27933514" TargetMode="External"/><Relationship Id="rId32" Type="http://schemas.openxmlformats.org/officeDocument/2006/relationships/hyperlink" Target="http://www.nevo.co.il/case/27894608" TargetMode="External"/><Relationship Id="rId33" Type="http://schemas.openxmlformats.org/officeDocument/2006/relationships/hyperlink" Target="http://www.nevo.co.il/case/27911638" TargetMode="External"/><Relationship Id="rId34" Type="http://schemas.openxmlformats.org/officeDocument/2006/relationships/hyperlink" Target="http://www.nevo.co.il/case/28152132" TargetMode="External"/><Relationship Id="rId35" Type="http://schemas.openxmlformats.org/officeDocument/2006/relationships/hyperlink" Target="http://www.nevo.co.il/case/28452933" TargetMode="External"/><Relationship Id="rId36" Type="http://schemas.openxmlformats.org/officeDocument/2006/relationships/hyperlink" Target="http://www.nevo.co.il/case/27305799" TargetMode="External"/><Relationship Id="rId37" Type="http://schemas.openxmlformats.org/officeDocument/2006/relationships/hyperlink" Target="http://www.nevo.co.il/case/5568354" TargetMode="External"/><Relationship Id="rId38" Type="http://schemas.openxmlformats.org/officeDocument/2006/relationships/hyperlink" Target="http://www.nevo.co.il/case/5598421" TargetMode="External"/><Relationship Id="rId39" Type="http://schemas.openxmlformats.org/officeDocument/2006/relationships/hyperlink" Target="http://www.nevo.co.il/case/28268880" TargetMode="External"/><Relationship Id="rId40" Type="http://schemas.openxmlformats.org/officeDocument/2006/relationships/hyperlink" Target="http://www.nevo.co.il/case/28731265" TargetMode="External"/><Relationship Id="rId41" Type="http://schemas.openxmlformats.org/officeDocument/2006/relationships/hyperlink" Target="http://www.nevo.co.il/case/28697227" TargetMode="External"/><Relationship Id="rId42" Type="http://schemas.openxmlformats.org/officeDocument/2006/relationships/hyperlink" Target="http://www.nevo.co.il/case/28697227" TargetMode="External"/><Relationship Id="rId43" Type="http://schemas.openxmlformats.org/officeDocument/2006/relationships/hyperlink" Target="http://www.nevo.co.il/safrut/book/974" TargetMode="External"/><Relationship Id="rId44" Type="http://schemas.openxmlformats.org/officeDocument/2006/relationships/hyperlink" Target="http://www.nevo.co.il/case/28697227" TargetMode="External"/><Relationship Id="rId45" Type="http://schemas.openxmlformats.org/officeDocument/2006/relationships/hyperlink" Target="http://www.nevo.co.il/case/23877165" TargetMode="External"/><Relationship Id="rId46" Type="http://schemas.openxmlformats.org/officeDocument/2006/relationships/hyperlink" Target="http://www.nevo.co.il/case/26327799" TargetMode="External"/><Relationship Id="rId47" Type="http://schemas.openxmlformats.org/officeDocument/2006/relationships/hyperlink" Target="http://www.nevo.co.il/case/26327814" TargetMode="External"/><Relationship Id="rId48" Type="http://schemas.openxmlformats.org/officeDocument/2006/relationships/hyperlink" Target="http://www.nevo.co.il/case/28731265" TargetMode="External"/><Relationship Id="rId49" Type="http://schemas.openxmlformats.org/officeDocument/2006/relationships/hyperlink" Target="http://www.nevo.co.il/safrut/book/974" TargetMode="External"/><Relationship Id="rId50" Type="http://schemas.openxmlformats.org/officeDocument/2006/relationships/hyperlink" Target="http://www.nevo.co.il/case/23750625" TargetMode="External"/><Relationship Id="rId51" Type="http://schemas.openxmlformats.org/officeDocument/2006/relationships/hyperlink" Target="http://www.nevo.co.il/case/23751415" TargetMode="External"/><Relationship Id="rId52" Type="http://schemas.openxmlformats.org/officeDocument/2006/relationships/hyperlink" Target="http://www.nevo.co.il/case/28643606" TargetMode="External"/><Relationship Id="rId53" Type="http://schemas.openxmlformats.org/officeDocument/2006/relationships/hyperlink" Target="http://www.nevo.co.il/case/28280792" TargetMode="External"/><Relationship Id="rId54" Type="http://schemas.openxmlformats.org/officeDocument/2006/relationships/hyperlink" Target="http://www.nevo.co.il/case/23750625" TargetMode="External"/><Relationship Id="rId55" Type="http://schemas.openxmlformats.org/officeDocument/2006/relationships/hyperlink" Target="http://www.nevo.co.il/case/17948130" TargetMode="External"/><Relationship Id="rId56" Type="http://schemas.openxmlformats.org/officeDocument/2006/relationships/hyperlink" Target="http://www.nevo.co.il/case/26747892" TargetMode="External"/><Relationship Id="rId57" Type="http://schemas.openxmlformats.org/officeDocument/2006/relationships/hyperlink" Target="http://www.nevo.co.il/case/26831530" TargetMode="External"/><Relationship Id="rId58" Type="http://schemas.openxmlformats.org/officeDocument/2006/relationships/hyperlink" Target="http://www.nevo.co.il/case/25304212" TargetMode="External"/><Relationship Id="rId59" Type="http://schemas.openxmlformats.org/officeDocument/2006/relationships/hyperlink" Target="http://www.nevo.co.il/case/26751351" TargetMode="External"/><Relationship Id="rId60" Type="http://schemas.openxmlformats.org/officeDocument/2006/relationships/hyperlink" Target="http://www.nevo.co.il/case/28697227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2024-05-05T08:33:00Z</dcterms:created>
  <dc:creator> </dc:creator>
  <dc:description/>
  <cp:keywords/>
  <dc:language>en-IL</dc:language>
  <cp:lastModifiedBy>h1</cp:lastModifiedBy>
  <dcterms:modified xsi:type="dcterms:W3CDTF">2024-05-05T08:33:00Z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מוסטפא סרסור;מחמוד סרסור</vt:lpwstr>
  </property>
  <property fmtid="{D5CDD505-2E9C-101B-9397-08002B2CF9AE}" pid="4" name="BOOKLISTTMP1">
    <vt:lpwstr>974:2</vt:lpwstr>
  </property>
  <property fmtid="{D5CDD505-2E9C-101B-9397-08002B2CF9AE}" pid="5" name="CASESLISTTMP1">
    <vt:lpwstr>26751351:2;17954235;28266138;28384637;28243273;28697227:5;27933514;27894608;27911638;28152132;28452933;27305799;5568354;5598421;28268880;28731265:2;23877165;26327799;26327814;23750625:2;23751415;28643606;28280792;17948130;26747892;26831530;25304212</vt:lpwstr>
  </property>
  <property fmtid="{D5CDD505-2E9C-101B-9397-08002B2CF9AE}" pid="6" name="CITY">
    <vt:lpwstr>מרכז</vt:lpwstr>
  </property>
  <property fmtid="{D5CDD505-2E9C-101B-9397-08002B2CF9AE}" pid="7" name="DATE">
    <vt:lpwstr>20230130</vt:lpwstr>
  </property>
  <property fmtid="{D5CDD505-2E9C-101B-9397-08002B2CF9AE}" pid="8" name="ISABSTRACT">
    <vt:lpwstr>Y</vt:lpwstr>
  </property>
  <property fmtid="{D5CDD505-2E9C-101B-9397-08002B2CF9AE}" pid="9" name="JUDGE">
    <vt:lpwstr>מרב גרינברג</vt:lpwstr>
  </property>
  <property fmtid="{D5CDD505-2E9C-101B-9397-08002B2CF9AE}" pid="10" name="LAWLISTTMP1">
    <vt:lpwstr>70301/144.b2:4;025:2;029;031:2;449.a.1</vt:lpwstr>
  </property>
  <property fmtid="{D5CDD505-2E9C-101B-9397-08002B2CF9AE}" pid="11" name="LAWLISTTMP2">
    <vt:lpwstr>4216/007.a;007.c</vt:lpwstr>
  </property>
  <property fmtid="{D5CDD505-2E9C-101B-9397-08002B2CF9AE}" pid="12" name="LAWYER">
    <vt:lpwstr>ליטל שירי;אסף גונן</vt:lpwstr>
  </property>
  <property fmtid="{D5CDD505-2E9C-101B-9397-08002B2CF9AE}" pid="13" name="NEWPARTA">
    <vt:lpwstr>48176</vt:lpwstr>
  </property>
  <property fmtid="{D5CDD505-2E9C-101B-9397-08002B2CF9AE}" pid="14" name="NEWPARTB">
    <vt:lpwstr>01</vt:lpwstr>
  </property>
  <property fmtid="{D5CDD505-2E9C-101B-9397-08002B2CF9AE}" pid="15" name="NEWPARTC">
    <vt:lpwstr>22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390020230130</vt:lpwstr>
  </property>
  <property fmtid="{D5CDD505-2E9C-101B-9397-08002B2CF9AE}" pid="20" name="TYPE_N_DATE">
    <vt:lpwstr>39020230130</vt:lpwstr>
  </property>
  <property fmtid="{D5CDD505-2E9C-101B-9397-08002B2CF9AE}" pid="21" name="WORDNUMPAGES">
    <vt:lpwstr>13</vt:lpwstr>
  </property>
</Properties>
</file>