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48488-03-14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אסרסה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cs="Times New Roman"/>
              </w:rPr>
            </w:pPr>
            <w:bookmarkStart w:id="1" w:name="_GoBack"/>
            <w:bookmarkEnd w:id="1"/>
            <w:r>
              <w:rPr>
                <w:rFonts w:cs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אמסטרדם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ענוז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אסרסה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סוחמי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454</w:t>
        </w:r>
      </w:hyperlink>
      <w:r>
        <w:rPr>
          <w:rFonts w:cs="Calibri" w:ascii="Calibri" w:hAnsi="Calibri"/>
          <w:rtl w:val="true"/>
        </w:rPr>
        <w:t xml:space="preserve">, </w:t>
      </w:r>
      <w:hyperlink r:id="rId7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על פי עובדות כתב האישום המתוקן בהן הודה הנאשם הוא ייצר סמוך לתאריך </w:t>
      </w:r>
      <w:r>
        <w:rPr>
          <w:rFonts w:cs="Calibri" w:ascii="Calibri" w:hAnsi="Calibri"/>
        </w:rPr>
        <w:t>4.1.14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מצינור מתכת הסגור בשני צדדיו שבתוכו חומר 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פתיל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 נק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 באופן ש</w:t>
      </w:r>
      <w:r>
        <w:rPr>
          <w:rFonts w:ascii="Calibri" w:hAnsi="Calibri" w:cs="Calibri"/>
          <w:rtl w:val="true"/>
        </w:rPr>
        <w:t>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התפוצצותו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יורם וגיל כהן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מוהליבר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הפתיל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אף הורשע על פי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25.2.2014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 מ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הביטוח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ומשיחה עמם 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הם אינם מעוניינים בהטלת פיצוי על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לעתיר</w:t>
      </w:r>
      <w:r>
        <w:rPr>
          <w:rFonts w:ascii="Calibri" w:hAnsi="Calibri" w:cs="Calibri"/>
          <w:rtl w:val="true"/>
        </w:rPr>
        <w:t xml:space="preserve">ת התביעה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על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לנאשם עבר פלילי בביצוע עבירות אלימות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הוא הורשע בתקיפה כדי לגנוב והתעללות בבעלי חיים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בשנים </w:t>
      </w:r>
      <w:r>
        <w:rPr>
          <w:rFonts w:cs="Calibri" w:ascii="Calibri" w:hAnsi="Calibri"/>
        </w:rPr>
        <w:t>2004-2003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תקיפה הגורמת חבלה של ממש ותקיפת שוטר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שבגינן ריצה עונש מאסר בן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תקיפה וחבלה של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ופציעה כשהעבריין מזויין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שבגינן ריצה עונש מאסר בן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שהינה </w:t>
      </w:r>
      <w:r>
        <w:rPr>
          <w:rFonts w:ascii="Calibri" w:hAnsi="Calibri" w:cs="Calibri"/>
          <w:rtl w:val="true"/>
        </w:rPr>
        <w:t>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שכן הראיה המסבכת את הנאשם היתה דגימת </w:t>
      </w:r>
      <w:r>
        <w:rPr>
          <w:rFonts w:cs="Calibri" w:ascii="Calibri" w:hAnsi="Calibri"/>
        </w:rPr>
        <w:t>DNA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 על מצית במרחק מה מזירת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לא נתן הסבר להמצאות המצית עם ה </w:t>
      </w:r>
      <w:r>
        <w:rPr>
          <w:rFonts w:cs="Calibri" w:ascii="Calibri" w:hAnsi="Calibri"/>
        </w:rPr>
        <w:t>DNA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שלו 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 הנאשם ולמתלוננים לא היה כל סכסוך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 את בית 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32508-02-11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5995/11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ראיד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תק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מח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539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לא ייצר מטען החבלה אלא השיגו מאחר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היו לו הרשעות 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עבד ותפקד כראוי עובר לביצוע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הביע חרטה בפני קצינת 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בית המשפט המחוזי הטיל עליו עונש של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בית המשפט העליון שדן בערעורו </w:t>
      </w:r>
      <w:r>
        <w:rPr>
          <w:rFonts w:cs="Calibri" w:ascii="Calibri" w:hAnsi="Calibri"/>
          <w:rtl w:val="true"/>
        </w:rPr>
        <w:t xml:space="preserve">-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5995/11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על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386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הפחית העונש לשלוש 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 בכך  שלנאשם לא היה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וובכך שאיש לא נפגע אלא נגרם נזק 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54104-07-12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עודאי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במאגרים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20.3.2013</w:t>
      </w:r>
      <w:r>
        <w:rPr>
          <w:rFonts w:cs="Calibri" w:ascii="Calibri" w:hAnsi="Calibri"/>
          <w:rtl w:val="true"/>
        </w:rPr>
        <w:t>)]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 על מי שייצר והשתמש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מטעני חבלה אשר לא גרמו אבדות בנפש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וכן מאסר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4072/07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במאגרים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24.9.2008</w:t>
      </w:r>
      <w:r>
        <w:rPr>
          <w:rFonts w:cs="Calibri" w:ascii="Calibri" w:hAnsi="Calibri"/>
          <w:rtl w:val="true"/>
        </w:rPr>
        <w:t>)]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השתמש הנאשם במטען חבלה מאולתר וגרם נזק פיסי לשני אנשים הוא נדון לעונש מאסר של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וכן חויב בתשלום פיצוי בסך </w:t>
      </w:r>
      <w:r>
        <w:rPr>
          <w:rFonts w:cs="Calibri" w:ascii="Calibri" w:hAnsi="Calibri"/>
        </w:rPr>
        <w:t>27,500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בהדגישו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 זאת הנאשם בחר ליטול אחריות למעשיו והודה בבית המשפט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במצבו הכלכלי הקשה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הנאשם התגורר במחסן עד למעצרו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דברי 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 דברו בבית 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הביע אמונו שלא ישוב עוד להיות נאשם בבית 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Calibri" w:ascii="Calibri" w:hAnsi="Calibri"/>
          <w:b/>
          <w:bCs/>
          <w:sz w:val="28"/>
          <w:szCs w:val="28"/>
          <w:rtl w:val="true"/>
        </w:rPr>
        <w:t>.</w:t>
        <w:tab/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עסקינן בצעיר שעבד בעיריית תל אביב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לאחר שנקלט בעבודתו על אף עברו הפלילי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ייצר מטען חבלה שתוכנן כך שיגרום למות אדם עם התפוצצותו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הניח אותו מתחת למושב נהג של אדם עמו לא היה לו כלל 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מכך משתמע שהנאשם בעצם שימש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חרב להשכיר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והוא הצית את הפתיל וגרם להתפוצצות מטען החבלה כנראה 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אות אזהרה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למשתמש ברכב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כשנעצר הנאשם הוא שמר על זכות השתיקה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ולא נתן הסבר להמצאות </w:t>
      </w:r>
      <w:r>
        <w:rPr>
          <w:rFonts w:cs="Calibri" w:ascii="Calibri" w:hAnsi="Calibri"/>
        </w:rPr>
        <w:t>DNA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 מצית שנתפסה בסמוך לזירת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 זה היה בעוכריו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 גם ההגנה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לא היתה בטוחה בתוצאות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כן שתיהן בחרו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למזער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את הסיכון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זו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שמא יזוכה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וזה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שמא ייענש בחומרה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כן הגיעו להסדר טיעון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מצביעה על ח</w:t>
      </w:r>
      <w:r>
        <w:rPr>
          <w:rFonts w:ascii="Calibri" w:hAnsi="Calibri" w:cs="Calibri"/>
          <w:rtl w:val="true"/>
        </w:rPr>
        <w:t>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כמצוין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5995/11</w:t>
        </w:r>
      </w:hyperlink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נקבע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1440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ברי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משהתפוצץ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המטען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להתעלם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מהעובדה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ובמזל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בלבד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200"/>
        <w:ind w:start="1440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עסקינן בענייננו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עתירה משותפת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שפירטתי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22678-12-13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9.4.14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קיומו של </w:t>
      </w:r>
      <w:r>
        <w:rPr>
          <w:rFonts w:ascii="Calibri" w:hAnsi="Calibri" w:cs="Calibri"/>
          <w:rtl w:val="true"/>
        </w:rPr>
        <w:t>מנגנון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1958/98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הסדרי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בהסתמכותם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צעדיהם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באופן משמעותי </w:t>
      </w:r>
      <w:r>
        <w:rPr>
          <w:rFonts w:ascii="Calibri" w:hAnsi="Calibri" w:cs="Calibri"/>
          <w:rtl w:val="true"/>
        </w:rPr>
        <w:t>מהמקובל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גם שקיימים קשיים ראייתיים בתיק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ולאור המקובץ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 לכבד את הסדר הטיעון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לפיצוי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 כי נפגעי העבירה פוצו על ידי חברת הביטוח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והם אף אינם עותרים לקבלת פיצוי 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לדברי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אין להם עניין בתיק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לטענתם הם אינם מסוכסכים עם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משכך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>לא אחייב את הנאשם בתשלום פיצוי למתלוננים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עקב מצוקתו הכלכלית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לבית המשפט להטיל עליו קנס סמלי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הצטרף אליו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דומני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 בקנס סמלי כדי להרתיע והוא עלול להכביד על הנאשם עם שחרורו ממאסרו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שיכול אפילו להביא לכך שימעד ויבצע עבירה פלילית כדי לשלם את הקנס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לעומת זאת התחייבות בסכום גבוה יש בה כדי להרתיע נאשם מנקיטה בדרך פעולה דומה 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החל מיום מעצרו בתאריך </w:t>
      </w:r>
      <w:r>
        <w:rPr>
          <w:rFonts w:cs="Calibri" w:ascii="Calibri" w:hAnsi="Calibri"/>
        </w:rPr>
        <w:t>25.2.2014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שלא יעבור תוך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 עבירה מהעבירות בהן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כל עבירת אלימות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יחתום על התחייבות על סך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 הוא לא יעבור העבירה בה הורשע או כל עבירת אלימות מסוג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תוך שנתיים מיום שחרורו ממאסר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1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לא תיחתם ההתחייבות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יאסר הנאשם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2835" w:type="dxa"/>
        <w:jc w:val="start"/>
        <w:tblInd w:w="53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trHeight w:val="523" w:hRule="atLeast"/>
        </w:trPr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48488-03-14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אסרסה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800" w:hanging="360"/>
      </w:pPr>
      <w:rPr>
        <w:b/>
        <w:bCs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." TargetMode="External"/><Relationship Id="rId5" Type="http://schemas.openxmlformats.org/officeDocument/2006/relationships/hyperlink" Target="http://www.nevo.co.il/law/70301/454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.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590218" TargetMode="External"/><Relationship Id="rId11" Type="http://schemas.openxmlformats.org/officeDocument/2006/relationships/hyperlink" Target="http://www.nevo.co.il/case/6043688" TargetMode="External"/><Relationship Id="rId12" Type="http://schemas.openxmlformats.org/officeDocument/2006/relationships/hyperlink" Target="http://www.nevo.co.il/case/3878506" TargetMode="External"/><Relationship Id="rId13" Type="http://schemas.openxmlformats.org/officeDocument/2006/relationships/hyperlink" Target="http://www.nevo.co.il/case/2253806" TargetMode="External"/><Relationship Id="rId14" Type="http://schemas.openxmlformats.org/officeDocument/2006/relationships/hyperlink" Target="http://www.nevo.co.il/case/6043688" TargetMode="External"/><Relationship Id="rId15" Type="http://schemas.openxmlformats.org/officeDocument/2006/relationships/hyperlink" Target="http://www.nevo.co.il/case/10516443" TargetMode="External"/><Relationship Id="rId16" Type="http://schemas.openxmlformats.org/officeDocument/2006/relationships/hyperlink" Target="http://www.nevo.co.il/case/161892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2014-10-06T12:03:00Z</dcterms:created>
  <dc:creator> </dc:creator>
  <dc:description/>
  <cp:keywords/>
  <dc:language>en-IL</dc:language>
  <cp:lastModifiedBy>hofit</cp:lastModifiedBy>
  <dcterms:modified xsi:type="dcterms:W3CDTF">2014-10-06T12:03:00Z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אסרסה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2590218;6043688:2;3878506;2253806;10516443;161892</vt:lpwstr>
  </property>
  <property fmtid="{D5CDD505-2E9C-101B-9397-08002B2CF9AE}" pid="9" name="CITY">
    <vt:lpwstr>ת"א</vt:lpwstr>
  </property>
  <property fmtid="{D5CDD505-2E9C-101B-9397-08002B2CF9AE}" pid="10" name="DATE">
    <vt:lpwstr>20141002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אמסטרדם</vt:lpwstr>
  </property>
  <property fmtid="{D5CDD505-2E9C-101B-9397-08002B2CF9AE}" pid="14" name="LAWLISTTMP1">
    <vt:lpwstr>70301/454;144.a.;144.b.</vt:lpwstr>
  </property>
  <property fmtid="{D5CDD505-2E9C-101B-9397-08002B2CF9AE}" pid="15" name="LAWYER">
    <vt:lpwstr>ראאד ענוז;משה סוחמי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48488</vt:lpwstr>
  </property>
  <property fmtid="{D5CDD505-2E9C-101B-9397-08002B2CF9AE}" pid="22" name="NEWPARTB">
    <vt:lpwstr>03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390020141002</vt:lpwstr>
  </property>
  <property fmtid="{D5CDD505-2E9C-101B-9397-08002B2CF9AE}" pid="34" name="TYPE_N_DATE">
    <vt:lpwstr>39020141002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