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942"/>
        <w:gridCol w:w="1563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6942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48506-10-17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שיח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</w:t>
            </w:r>
            <w:r>
              <w:rPr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ליל</w:t>
            </w: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)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b/>
                <w:bCs/>
                <w:sz w:val="28"/>
                <w:szCs w:val="28"/>
                <w:rtl w:val="true"/>
              </w:rPr>
              <w:t>'</w:t>
            </w:r>
          </w:p>
        </w:tc>
        <w:tc>
          <w:tcPr>
            <w:tcW w:w="15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46"/>
        <w:gridCol w:w="3959"/>
        <w:gridCol w:w="2736"/>
        <w:gridCol w:w="879"/>
      </w:tblGrid>
      <w:tr>
        <w:trPr>
          <w:trHeight w:val="295" w:hRule="atLeast"/>
        </w:trPr>
        <w:tc>
          <w:tcPr>
            <w:tcW w:w="7941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בפני 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סגן הנשיאה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אליהו ביתן</w:t>
            </w:r>
          </w:p>
        </w:tc>
        <w:tc>
          <w:tcPr>
            <w:tcW w:w="87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0" w:name="LastJudge"/>
            <w:bookmarkEnd w:id="0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3959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</w:t>
            </w:r>
          </w:p>
        </w:tc>
        <w:tc>
          <w:tcPr>
            <w:tcW w:w="3615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3959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3615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574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הנאשמים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3959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Fonts w:cs="Arial" w:ascii="Arial" w:hAnsi="Arial"/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טאהר שיח ח</w:t>
            </w:r>
            <w:r>
              <w:rPr>
                <w:rFonts w:cs="Arial" w:ascii="Arial" w:hAnsi="Arial"/>
                <w:b/>
                <w:bCs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ליל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Fonts w:cs="Arial" w:ascii="Arial" w:hAnsi="Arial"/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מחמד אלקתנאני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Fonts w:cs="Arial" w:ascii="Arial" w:hAnsi="Arial"/>
                <w:b/>
                <w:bCs/>
              </w:rPr>
              <w:t>3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באהאלדין אלקתנאני</w:t>
            </w:r>
          </w:p>
        </w:tc>
        <w:tc>
          <w:tcPr>
            <w:tcW w:w="3615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260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4" w:name="LawTable_End"/>
      <w:bookmarkStart w:id="5" w:name="LawTable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7" w:name="ABSTRACT_START"/>
      <w:bookmarkEnd w:id="7"/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עיקריהן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לתאריך</w:t>
      </w:r>
      <w:r>
        <w:rPr>
          <w:rFonts w:cs="Times New Roman"/>
          <w:rtl w:val="true"/>
        </w:rPr>
        <w:t xml:space="preserve"> </w:t>
      </w:r>
      <w:r>
        <w:rPr/>
        <w:t>09.10.17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>שמספרו</w:t>
      </w:r>
      <w:r>
        <w:rPr>
          <w:rFonts w:cs="Times New Roman"/>
          <w:rtl w:val="true"/>
        </w:rPr>
        <w:t xml:space="preserve"> </w:t>
      </w:r>
      <w:r>
        <w:rPr/>
        <w:t>376569</w:t>
      </w:r>
      <w:r>
        <w:rPr>
          <w:rtl w:val="true"/>
        </w:rPr>
        <w:t xml:space="preserve"> </w:t>
      </w:r>
      <w:r>
        <w:rPr/>
        <w:t>L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האקדח</w:t>
      </w:r>
      <w:r>
        <w:rPr>
          <w:rtl w:val="true"/>
        </w:rPr>
        <w:t xml:space="preserve">")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שיבוצע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בקלקיליה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10.10.17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לקלקיליה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לנסיעה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מטרתה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לקלקיליה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tl w:val="true"/>
        </w:rPr>
        <w:t xml:space="preserve">").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לקלקיליה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bookmarkStart w:id="8" w:name="ABSTRACT_END"/>
      <w:bookmarkEnd w:id="8"/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tl w:val="true"/>
        </w:rPr>
        <w:t xml:space="preserve">, </w:t>
      </w:r>
      <w:r>
        <w:rPr>
          <w:rtl w:val="true"/>
        </w:rPr>
        <w:t>ובזמן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ונסע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המחסום</w:t>
      </w:r>
      <w:r>
        <w:rPr>
          <w:rtl w:val="true"/>
        </w:rPr>
        <w:t xml:space="preserve">").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במחסום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למאבטחים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והמאבטחים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יסודית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יסודית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המחסום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בדרכו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tl w:val="true"/>
        </w:rPr>
        <w:t xml:space="preserve">, </w:t>
      </w:r>
      <w:r>
        <w:rPr>
          <w:rtl w:val="true"/>
        </w:rPr>
        <w:t>ובה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דרום</w:t>
      </w:r>
      <w:r>
        <w:rPr>
          <w:rtl w:val="true"/>
        </w:rPr>
        <w:t xml:space="preserve">.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ומהאדם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tl w:val="true"/>
        </w:rPr>
        <w:t xml:space="preserve">, </w:t>
      </w:r>
      <w:r>
        <w:rPr>
          <w:rtl w:val="true"/>
        </w:rPr>
        <w:t>שסירב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מושבו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</w:p>
    <w:p>
      <w:pPr>
        <w:pStyle w:val="Normal"/>
        <w:spacing w:lineRule="auto" w:line="360"/>
        <w:ind w:firstLine="720" w:end="0"/>
        <w:jc w:val="both"/>
        <w:rPr/>
      </w:pP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ימליצו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10.10.17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25.12.17</w:t>
      </w:r>
      <w:r>
        <w:rPr>
          <w:rtl w:val="true"/>
        </w:rPr>
        <w:t xml:space="preserve">,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.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tl w:val="true"/>
        </w:rPr>
        <w:t xml:space="preserve">.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tl w:val="true"/>
        </w:rPr>
        <w:t xml:space="preserve">.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-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–</w:t>
      </w:r>
      <w:r>
        <w:rPr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–</w:t>
      </w:r>
      <w:r>
        <w:rPr>
          <w:b/>
          <w:bCs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מבוטלים</w:t>
      </w:r>
      <w:r>
        <w:rPr>
          <w:rtl w:val="true"/>
        </w:rPr>
        <w:t xml:space="preserve">.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ומבוססות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סתר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;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;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שתיקן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.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לכבדה</w:t>
      </w:r>
      <w:r>
        <w:rPr>
          <w:rtl w:val="true"/>
        </w:rPr>
        <w:t xml:space="preserve">. </w:t>
      </w:r>
      <w:r>
        <w:rPr>
          <w:rtl w:val="true"/>
        </w:rPr>
        <w:t>הוסיפה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וחומר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מידית</w:t>
      </w:r>
      <w:r>
        <w:rPr>
          <w:rtl w:val="true"/>
        </w:rPr>
        <w:t xml:space="preserve">.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וחסכו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.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1985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כאבול</w:t>
      </w:r>
      <w:r>
        <w:rPr>
          <w:rtl w:val="true"/>
        </w:rPr>
        <w:t xml:space="preserve">.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לקהילה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1990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לשניים</w:t>
      </w:r>
      <w:r>
        <w:rPr>
          <w:rtl w:val="true"/>
        </w:rPr>
        <w:t xml:space="preserve">.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ברהט</w:t>
      </w:r>
      <w:r>
        <w:rPr>
          <w:rtl w:val="true"/>
        </w:rPr>
        <w:t xml:space="preserve">.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ביישוב</w:t>
      </w:r>
      <w:r>
        <w:rPr>
          <w:rtl w:val="true"/>
        </w:rPr>
        <w:t xml:space="preserve">, </w:t>
      </w:r>
      <w:r>
        <w:rPr>
          <w:rtl w:val="true"/>
        </w:rPr>
        <w:t>ומעודדת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חברתית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אחוז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.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מכוננת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, </w:t>
      </w:r>
      <w:r>
        <w:rPr>
          <w:rtl w:val="true"/>
        </w:rPr>
        <w:t>השואף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eastAsia="he-IL"/>
        </w:rPr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ונפש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והשימושים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רישוי</w:t>
      </w:r>
      <w:r>
        <w:rPr>
          <w:rtl w:val="true"/>
        </w:rPr>
        <w:t xml:space="preserve">,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בקריטריונים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tl w:val="true"/>
        </w:rPr>
        <w:t xml:space="preserve">.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eastAsia="he-IL"/>
        </w:rPr>
      </w:pPr>
      <w:r>
        <w:rPr>
          <w:rFonts w:cs="Arial" w:ascii="Arial" w:hAnsi="Arial"/>
          <w:rtl w:val="true"/>
          <w:lang w:eastAsia="he-IL"/>
        </w:rPr>
      </w:r>
    </w:p>
    <w:p>
      <w:pPr>
        <w:pStyle w:val="Normal"/>
        <w:spacing w:lineRule="auto" w:line="360"/>
        <w:ind w:start="1440" w:end="900"/>
        <w:jc w:val="both"/>
        <w:rPr>
          <w:rFonts w:ascii="Arial" w:hAnsi="Arial" w:cs="Arial"/>
          <w:lang w:eastAsia="he-IL"/>
        </w:rPr>
      </w:pPr>
      <w:r>
        <w:rPr>
          <w:rFonts w:cs="Arial" w:ascii="Arial" w:hAnsi="Arial"/>
          <w:rtl w:val="true"/>
          <w:lang w:eastAsia="he-IL"/>
        </w:rPr>
        <w:t>"</w:t>
      </w:r>
      <w:r>
        <w:rPr>
          <w:rFonts w:ascii="Arial" w:hAnsi="Arial" w:cs="Arial"/>
          <w:b/>
          <w:b/>
          <w:bCs/>
          <w:rtl w:val="true"/>
          <w:lang w:eastAsia="he-IL"/>
        </w:rPr>
        <w:t>כלי הנשק הנסחרים עלולים לעבור מיד ליד</w:t>
      </w:r>
      <w:r>
        <w:rPr>
          <w:rFonts w:cs="Arial" w:ascii="Arial" w:hAnsi="Arial"/>
          <w:b/>
          <w:bCs/>
          <w:rtl w:val="true"/>
          <w:lang w:eastAsia="he-IL"/>
        </w:rPr>
        <w:t xml:space="preserve">. </w:t>
      </w:r>
      <w:r>
        <w:rPr>
          <w:rFonts w:ascii="Arial" w:hAnsi="Arial" w:cs="Arial"/>
          <w:b/>
          <w:b/>
          <w:bCs/>
          <w:rtl w:val="true"/>
          <w:lang w:eastAsia="he-IL"/>
        </w:rPr>
        <w:t>הם לא נרכשו באופן חוקי וחזקה שהם לא נועדו לשמש מטרה חוקית</w:t>
      </w:r>
      <w:r>
        <w:rPr>
          <w:rFonts w:cs="Arial" w:ascii="Arial" w:hAnsi="Arial"/>
          <w:b/>
          <w:bCs/>
          <w:rtl w:val="true"/>
          <w:lang w:eastAsia="he-IL"/>
        </w:rPr>
        <w:t xml:space="preserve">. </w:t>
      </w:r>
      <w:r>
        <w:rPr>
          <w:rFonts w:ascii="Arial" w:hAnsi="Arial" w:cs="Arial"/>
          <w:b/>
          <w:b/>
          <w:bCs/>
          <w:rtl w:val="true"/>
          <w:lang w:eastAsia="he-IL"/>
        </w:rPr>
        <w:t>גם כשהם נמצאים בידי אדם שאינו עבריין טמונה בהם סכנת חיים</w:t>
      </w:r>
      <w:r>
        <w:rPr>
          <w:rFonts w:cs="Arial" w:ascii="Arial" w:hAnsi="Arial"/>
          <w:b/>
          <w:bCs/>
          <w:rtl w:val="true"/>
          <w:lang w:eastAsia="he-IL"/>
        </w:rPr>
        <w:t xml:space="preserve">. </w:t>
      </w:r>
      <w:r>
        <w:rPr>
          <w:rFonts w:ascii="Arial" w:hAnsi="Arial" w:cs="Arial"/>
          <w:b/>
          <w:b/>
          <w:bCs/>
          <w:rtl w:val="true"/>
          <w:lang w:eastAsia="he-IL"/>
        </w:rPr>
        <w:t>קל וחומר אם הם מתגלגלים ומגיעים לידי גורמים עוינים</w:t>
      </w:r>
      <w:r>
        <w:rPr>
          <w:rFonts w:cs="Arial" w:ascii="Arial" w:hAnsi="Arial"/>
          <w:b/>
          <w:bCs/>
          <w:rtl w:val="true"/>
          <w:lang w:eastAsia="he-IL"/>
        </w:rPr>
        <w:t xml:space="preserve">, </w:t>
      </w:r>
      <w:r>
        <w:rPr>
          <w:rFonts w:ascii="Arial" w:hAnsi="Arial" w:cs="Arial"/>
          <w:b/>
          <w:b/>
          <w:bCs/>
          <w:rtl w:val="true"/>
          <w:lang w:eastAsia="he-IL"/>
        </w:rPr>
        <w:t>ועלינו לקחת בחשבון אפשרות זו</w:t>
      </w:r>
      <w:r>
        <w:rPr>
          <w:rFonts w:cs="Arial" w:ascii="Arial" w:hAnsi="Arial"/>
          <w:b/>
          <w:bCs/>
          <w:rtl w:val="true"/>
          <w:lang w:eastAsia="he-IL"/>
        </w:rPr>
        <w:t xml:space="preserve">, </w:t>
      </w:r>
      <w:r>
        <w:rPr>
          <w:rFonts w:ascii="Arial" w:hAnsi="Arial" w:cs="Arial"/>
          <w:b/>
          <w:b/>
          <w:bCs/>
          <w:rtl w:val="true"/>
          <w:lang w:eastAsia="he-IL"/>
        </w:rPr>
        <w:t>להרתיע מפניה ולמנוע את הסכנה המחמירה והולכת הצפויה מן הסחר בנשק</w:t>
      </w:r>
      <w:r>
        <w:rPr>
          <w:rFonts w:cs="Arial" w:ascii="Arial" w:hAnsi="Arial"/>
          <w:b/>
          <w:bCs/>
          <w:rtl w:val="true"/>
          <w:lang w:eastAsia="he-IL"/>
        </w:rPr>
        <w:t xml:space="preserve">. </w:t>
      </w:r>
      <w:r>
        <w:rPr>
          <w:rFonts w:ascii="Arial" w:hAnsi="Arial" w:cs="Arial"/>
          <w:b/>
          <w:b/>
          <w:bCs/>
          <w:rtl w:val="true"/>
          <w:lang w:eastAsia="he-IL"/>
        </w:rPr>
        <w:t>לכן שומה על בית</w:t>
      </w:r>
      <w:r>
        <w:rPr>
          <w:rFonts w:cs="Arial" w:ascii="Arial" w:hAnsi="Arial"/>
          <w:b/>
          <w:bCs/>
          <w:rtl w:val="true"/>
          <w:lang w:eastAsia="he-IL"/>
        </w:rPr>
        <w:t>-</w:t>
      </w:r>
      <w:r>
        <w:rPr>
          <w:rFonts w:ascii="Arial" w:hAnsi="Arial" w:cs="Arial"/>
          <w:b/>
          <w:b/>
          <w:bCs/>
          <w:rtl w:val="true"/>
          <w:lang w:eastAsia="he-IL"/>
        </w:rPr>
        <w:t>המשפט להתריע כנגד סכנה זאת ולפעול כנדרש כדי להרתיע מפני עבירה זאת</w:t>
      </w:r>
      <w:r>
        <w:rPr>
          <w:rFonts w:cs="Arial" w:ascii="Arial" w:hAnsi="Arial"/>
          <w:rtl w:val="true"/>
          <w:lang w:eastAsia="he-IL"/>
        </w:rPr>
        <w:t>".</w:t>
      </w:r>
      <w:r>
        <w:rPr>
          <w:rFonts w:cs="Arial" w:ascii="Arial" w:hAnsi="Arial"/>
          <w:b/>
          <w:bCs/>
          <w:rtl w:val="true"/>
          <w:lang w:eastAsia="he-IL"/>
        </w:rPr>
        <w:t xml:space="preserve"> </w:t>
      </w:r>
      <w:r>
        <w:rPr>
          <w:rFonts w:cs="Arial" w:ascii="Arial" w:hAnsi="Arial"/>
          <w:rtl w:val="true"/>
          <w:lang w:eastAsia="he-IL"/>
        </w:rPr>
        <w:t xml:space="preserve">–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eastAsia="he-IL"/>
          </w:rPr>
          <w:t>4609/98</w:t>
        </w:r>
      </w:hyperlink>
      <w:r>
        <w:rPr>
          <w:rFonts w:cs="Arial" w:ascii="Arial" w:hAnsi="Arial"/>
          <w:rtl w:val="true"/>
          <w:lang w:eastAsia="he-IL"/>
        </w:rPr>
        <w:t xml:space="preserve"> </w:t>
      </w:r>
      <w:r>
        <w:rPr>
          <w:rFonts w:ascii="Arial" w:hAnsi="Arial" w:cs="Arial"/>
          <w:b/>
          <w:b/>
          <w:bCs/>
          <w:rtl w:val="true"/>
          <w:lang w:eastAsia="he-IL"/>
        </w:rPr>
        <w:t>טאהא</w:t>
      </w:r>
      <w:r>
        <w:rPr>
          <w:rFonts w:ascii="Arial" w:hAnsi="Arial" w:cs="Arial"/>
          <w:rtl w:val="true"/>
          <w:lang w:eastAsia="he-IL"/>
        </w:rPr>
        <w:t xml:space="preserve"> נ</w:t>
      </w:r>
      <w:r>
        <w:rPr>
          <w:rFonts w:cs="Arial" w:ascii="Arial" w:hAnsi="Arial"/>
          <w:rtl w:val="true"/>
          <w:lang w:eastAsia="he-IL"/>
        </w:rPr>
        <w:t>'</w:t>
      </w:r>
      <w:r>
        <w:rPr>
          <w:rFonts w:cs="Arial" w:ascii="Arial" w:hAnsi="Arial"/>
          <w:b/>
          <w:bCs/>
          <w:rtl w:val="true"/>
          <w:lang w:eastAsia="he-IL"/>
        </w:rPr>
        <w:t xml:space="preserve"> </w:t>
      </w:r>
      <w:r>
        <w:rPr>
          <w:rFonts w:ascii="Arial" w:hAnsi="Arial" w:cs="Arial"/>
          <w:b/>
          <w:b/>
          <w:bCs/>
          <w:rtl w:val="true"/>
          <w:lang w:eastAsia="he-IL"/>
        </w:rPr>
        <w:t>מדינת ישראל</w:t>
      </w:r>
      <w:r>
        <w:rPr>
          <w:rFonts w:cs="Arial" w:ascii="Arial" w:hAnsi="Arial"/>
          <w:b/>
          <w:bCs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 xml:space="preserve">תק </w:t>
      </w:r>
      <w:r>
        <w:rPr>
          <w:rFonts w:cs="Arial" w:ascii="Arial" w:hAnsi="Arial"/>
          <w:rtl w:val="true"/>
          <w:lang w:eastAsia="he-IL"/>
        </w:rPr>
        <w:t xml:space="preserve">- </w:t>
      </w:r>
      <w:r>
        <w:rPr>
          <w:rFonts w:ascii="Arial" w:hAnsi="Arial" w:cs="Arial"/>
          <w:rtl w:val="true"/>
          <w:lang w:eastAsia="he-IL"/>
        </w:rPr>
        <w:t xml:space="preserve">על </w:t>
      </w:r>
      <w:r>
        <w:rPr>
          <w:rFonts w:cs="Arial" w:ascii="Arial" w:hAnsi="Arial"/>
          <w:lang w:eastAsia="he-IL"/>
        </w:rPr>
        <w:t>99</w:t>
      </w:r>
      <w:r>
        <w:rPr>
          <w:rFonts w:cs="Arial" w:ascii="Arial" w:hAnsi="Arial"/>
          <w:rtl w:val="true"/>
          <w:lang w:eastAsia="he-IL"/>
        </w:rPr>
        <w:t>(</w:t>
      </w:r>
      <w:r>
        <w:rPr>
          <w:rFonts w:cs="Arial" w:ascii="Arial" w:hAnsi="Arial"/>
          <w:lang w:eastAsia="he-IL"/>
        </w:rPr>
        <w:t>2</w:t>
      </w:r>
      <w:r>
        <w:rPr>
          <w:rFonts w:cs="Arial" w:ascii="Arial" w:hAnsi="Arial"/>
          <w:rtl w:val="true"/>
          <w:lang w:eastAsia="he-IL"/>
        </w:rPr>
        <w:t xml:space="preserve">) </w:t>
      </w:r>
      <w:r>
        <w:rPr>
          <w:rFonts w:cs="Arial" w:ascii="Arial" w:hAnsi="Arial"/>
          <w:lang w:eastAsia="he-IL"/>
        </w:rPr>
        <w:t>716</w:t>
      </w:r>
      <w:r>
        <w:rPr>
          <w:rFonts w:cs="Arial" w:ascii="Arial" w:hAnsi="Arial"/>
          <w:rtl w:val="true"/>
          <w:lang w:eastAsia="he-IL"/>
        </w:rPr>
        <w:t>.</w:t>
      </w:r>
    </w:p>
    <w:p>
      <w:pPr>
        <w:pStyle w:val="Normal"/>
        <w:spacing w:lineRule="auto" w:line="360"/>
        <w:ind w:start="1440" w:end="900"/>
        <w:jc w:val="both"/>
        <w:rPr>
          <w:rFonts w:ascii="Arial" w:hAnsi="Arial" w:cs="Arial"/>
          <w:b/>
          <w:bCs/>
          <w:lang w:eastAsia="he-IL"/>
        </w:rPr>
      </w:pPr>
      <w:r>
        <w:rPr>
          <w:rFonts w:cs="Arial" w:ascii="Arial" w:hAnsi="Arial"/>
          <w:b/>
          <w:bCs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9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סכנת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הנפשות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העברייני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מחייבת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סיגול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הכוללת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לתקופות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ארוכות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רטוריקה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נחרצת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להעברת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שההרתעה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מכוונת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מתרשמים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מרטוריקה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וברור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בדמות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10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תקופות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מקלות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אשמם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ואולם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שהסבירה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התובעת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התביעה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נתקלה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ראייתיים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בהוכחת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שיוחסו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ושקלה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הסיכויים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והסיכונים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שבפניה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וסברה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שהיתרונות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ובהבטחת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הרשעתם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וענישתם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מצדיקים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ההקלה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הכרוכה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המומלץ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להעמיד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התביעה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בחזקתה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ששקלה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כראוי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ומיקמה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הסכמתה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בנקודה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המאזנת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כראוי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האינטרסים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בנוסף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וזהו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מהנאשמים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מינורי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נקלע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בטובתו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ומבלי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השתלשלות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בסופו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הבטיחה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הרשעתם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והענשתם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חסכה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שיפוט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ומשאבים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הכרוכים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בניהול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תומו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לבטא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נטילת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מצדם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  <w:lang w:eastAsia="he-IL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FrankRuehl" w:hAnsi="FrankRuehl" w:cs="FrankRuehl"/>
          <w:color w:val="000000"/>
          <w:lang w:eastAsia="he-IL"/>
        </w:rPr>
      </w:pPr>
      <w:r>
        <w:rPr/>
        <w:t>11</w:t>
      </w:r>
      <w:r>
        <w:rPr>
          <w:rtl w:val="true"/>
        </w:rPr>
        <w:t>.</w:t>
        <w:tab/>
      </w:r>
      <w:r>
        <w:rPr>
          <w:rFonts w:ascii="FrankRuehl" w:hAnsi="FrankRuehl" w:cs="FrankRuehl"/>
          <w:color w:val="000000"/>
          <w:rtl w:val="true"/>
          <w:lang w:eastAsia="he-IL"/>
        </w:rPr>
        <w:t>נוכח האמור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cs="FrankRuehl"/>
          <w:color w:val="000000"/>
          <w:rtl w:val="true"/>
          <w:lang w:eastAsia="he-IL"/>
        </w:rPr>
        <w:t>אני מקבל את הסדר הטיעון ודן את הנאשמים לעונשים הבאים</w:t>
      </w:r>
      <w:r>
        <w:rPr>
          <w:rFonts w:cs="FrankRuehl" w:ascii="FrankRuehl" w:hAnsi="FrankRuehl"/>
          <w:color w:val="000000"/>
          <w:rtl w:val="true"/>
          <w:lang w:eastAsia="he-IL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cs="FrankRuehl" w:ascii="FrankRuehl" w:hAnsi="FrankRuehl"/>
          <w:color w:val="000000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color w:val="000000"/>
          <w:u w:val="single"/>
          <w:lang w:eastAsia="he-IL"/>
        </w:rPr>
      </w:pPr>
      <w:r>
        <w:rPr>
          <w:rFonts w:cs="FrankRuehl" w:ascii="FrankRuehl" w:hAnsi="FrankRuehl"/>
          <w:color w:val="000000"/>
          <w:rtl w:val="true"/>
          <w:lang w:eastAsia="he-IL"/>
        </w:rPr>
        <w:tab/>
      </w:r>
      <w:r>
        <w:rPr>
          <w:rFonts w:ascii="FrankRuehl" w:hAnsi="FrankRuehl" w:cs="FrankRuehl"/>
          <w:b/>
          <w:b/>
          <w:bCs/>
          <w:color w:val="000000"/>
          <w:u w:val="single"/>
          <w:rtl w:val="true"/>
          <w:lang w:eastAsia="he-IL"/>
        </w:rPr>
        <w:t xml:space="preserve">הנאשם </w:t>
      </w:r>
      <w:r>
        <w:rPr>
          <w:rFonts w:cs="FrankRuehl" w:ascii="FrankRuehl" w:hAnsi="FrankRuehl"/>
          <w:b/>
          <w:bCs/>
          <w:color w:val="000000"/>
          <w:u w:val="single"/>
          <w:lang w:eastAsia="he-IL"/>
        </w:rPr>
        <w:t>1</w:t>
      </w:r>
      <w:r>
        <w:rPr>
          <w:rFonts w:cs="FrankRuehl" w:ascii="FrankRuehl" w:hAnsi="FrankRuehl"/>
          <w:b/>
          <w:bCs/>
          <w:color w:val="000000"/>
          <w:u w:val="single"/>
          <w:rtl w:val="true"/>
          <w:lang w:eastAsia="he-IL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/>
        <w:ind w:hanging="915" w:start="1635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cs="FrankRuehl" w:ascii="FrankRuehl" w:hAnsi="FrankRuehl"/>
          <w:color w:val="000000"/>
          <w:lang w:eastAsia="he-IL"/>
        </w:rPr>
        <w:t>16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cs="FrankRuehl"/>
          <w:color w:val="000000"/>
          <w:rtl w:val="true"/>
          <w:lang w:eastAsia="he-IL"/>
        </w:rPr>
        <w:t>חודשי מאסר בפועל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cs="FrankRuehl"/>
          <w:color w:val="000000"/>
          <w:rtl w:val="true"/>
          <w:lang w:eastAsia="he-IL"/>
        </w:rPr>
        <w:t>מיום מעצרו</w:t>
      </w:r>
      <w:r>
        <w:rPr>
          <w:rFonts w:cs="FrankRuehl" w:ascii="FrankRuehl" w:hAnsi="FrankRuehl"/>
          <w:color w:val="000000"/>
          <w:rtl w:val="true"/>
          <w:lang w:eastAsia="he-IL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915" w:start="1635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cs="FrankRuehl" w:ascii="FrankRuehl" w:hAnsi="FrankRuehl"/>
          <w:color w:val="000000"/>
          <w:lang w:eastAsia="he-IL"/>
        </w:rPr>
        <w:t>12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cs="FrankRuehl"/>
          <w:color w:val="000000"/>
          <w:rtl w:val="true"/>
          <w:lang w:eastAsia="he-IL"/>
        </w:rPr>
        <w:t xml:space="preserve">חודשי מאסר על תנאי למשך </w:t>
      </w:r>
      <w:r>
        <w:rPr>
          <w:rFonts w:cs="FrankRuehl" w:ascii="FrankRuehl" w:hAnsi="FrankRuehl"/>
          <w:color w:val="000000"/>
          <w:lang w:eastAsia="he-IL"/>
        </w:rPr>
        <w:t>3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cs="FrankRuehl"/>
          <w:color w:val="000000"/>
          <w:rtl w:val="true"/>
          <w:lang w:eastAsia="he-IL"/>
        </w:rPr>
        <w:t>שנים מיום שחרורו מהמאסר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cs="FrankRuehl"/>
          <w:color w:val="000000"/>
          <w:rtl w:val="true"/>
          <w:lang w:eastAsia="he-IL"/>
        </w:rPr>
        <w:t>שלא יעבור</w:t>
      </w:r>
    </w:p>
    <w:p>
      <w:pPr>
        <w:pStyle w:val="Normal"/>
        <w:spacing w:lineRule="auto" w:line="360"/>
        <w:ind w:firstLine="720" w:start="720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eastAsia="FrankRuehl" w:cs="FrankRuehl" w:ascii="FrankRuehl" w:hAnsi="FrankRuehl"/>
          <w:color w:val="000000"/>
          <w:rtl w:val="true"/>
          <w:lang w:eastAsia="he-IL"/>
        </w:rPr>
        <w:t xml:space="preserve">    </w:t>
      </w:r>
      <w:r>
        <w:rPr>
          <w:rFonts w:ascii="FrankRuehl" w:hAnsi="FrankRuehl" w:cs="FrankRuehl"/>
          <w:color w:val="000000"/>
          <w:rtl w:val="true"/>
          <w:lang w:eastAsia="he-IL"/>
        </w:rPr>
        <w:t>עבירת נשק המסווגת כפשע</w:t>
      </w:r>
      <w:r>
        <w:rPr>
          <w:rFonts w:cs="FrankRuehl" w:ascii="FrankRuehl" w:hAnsi="FrankRuehl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/>
        <w:ind w:hanging="930" w:start="1650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ascii="FrankRuehl" w:hAnsi="FrankRuehl" w:cs="FrankRuehl"/>
          <w:color w:val="000000"/>
          <w:rtl w:val="true"/>
          <w:lang w:eastAsia="he-IL"/>
        </w:rPr>
        <w:t>ג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. </w:t>
      </w:r>
      <w:r>
        <w:rPr>
          <w:rFonts w:cs="FrankRuehl" w:ascii="FrankRuehl" w:hAnsi="FrankRuehl"/>
          <w:color w:val="000000"/>
          <w:rtl w:val="true"/>
          <w:lang w:eastAsia="he-IL"/>
        </w:rPr>
        <w:tab/>
      </w:r>
      <w:r>
        <w:rPr>
          <w:rtl w:val="true"/>
          <w:lang w:eastAsia="he-IL"/>
        </w:rPr>
        <w:t>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20,000</w:t>
      </w:r>
      <w:r>
        <w:rPr>
          <w:rtl w:val="true"/>
          <w:lang w:eastAsia="he-IL"/>
        </w:rPr>
        <w:t xml:space="preserve"> </w:t>
      </w:r>
      <w:r>
        <w:rPr>
          <w:rFonts w:eastAsia="David" w:ascii="David" w:hAnsi="David"/>
          <w:rtl w:val="true"/>
          <w:lang w:eastAsia="he-IL"/>
        </w:rPr>
        <w:t>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תחתיו</w:t>
      </w:r>
      <w:r>
        <w:rPr>
          <w:rtl w:val="true"/>
          <w:lang w:eastAsia="he-IL"/>
        </w:rPr>
        <w:t>.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cs="FrankRuehl"/>
          <w:color w:val="000000"/>
          <w:rtl w:val="true"/>
          <w:lang w:eastAsia="he-IL"/>
        </w:rPr>
        <w:t>הקנס ישולם ב</w:t>
      </w:r>
      <w:r>
        <w:rPr>
          <w:rFonts w:cs="FrankRuehl" w:ascii="FrankRuehl" w:hAnsi="FrankRuehl"/>
          <w:color w:val="000000"/>
          <w:rtl w:val="true"/>
          <w:lang w:eastAsia="he-IL"/>
        </w:rPr>
        <w:t>-</w:t>
      </w:r>
      <w:r>
        <w:rPr>
          <w:rFonts w:cs="FrankRuehl" w:ascii="FrankRuehl" w:hAnsi="FrankRuehl"/>
          <w:color w:val="000000"/>
          <w:lang w:eastAsia="he-IL"/>
        </w:rPr>
        <w:t>5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cs="FrankRuehl"/>
          <w:color w:val="000000"/>
          <w:rtl w:val="true"/>
          <w:lang w:eastAsia="he-IL"/>
        </w:rPr>
        <w:t xml:space="preserve">תשלומים חודשיים   שווים ורצופים החל מיום </w:t>
      </w:r>
      <w:r>
        <w:rPr>
          <w:rFonts w:cs="FrankRuehl" w:ascii="FrankRuehl" w:hAnsi="FrankRuehl"/>
          <w:color w:val="000000"/>
          <w:lang w:eastAsia="he-IL"/>
        </w:rPr>
        <w:t>15.5.18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. </w:t>
      </w:r>
      <w:r>
        <w:rPr>
          <w:rFonts w:ascii="FrankRuehl" w:hAnsi="FrankRuehl" w:cs="FrankRuehl"/>
          <w:color w:val="000000"/>
          <w:rtl w:val="true"/>
          <w:lang w:eastAsia="he-IL"/>
        </w:rPr>
        <w:t>תשלום שלא ישולם במועדו יעמיד את כל יתרת הסכום לפרעון מיידי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cs="FrankRuehl" w:ascii="FrankRuehl" w:hAnsi="FrankRuehl"/>
          <w:color w:val="000000"/>
          <w:rtl w:val="true"/>
          <w:lang w:eastAsia="he-IL"/>
        </w:rPr>
        <w:tab/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b/>
          <w:bCs/>
          <w:color w:val="000000"/>
          <w:u w:val="single"/>
          <w:lang w:eastAsia="he-IL"/>
        </w:rPr>
      </w:pPr>
      <w:r>
        <w:rPr>
          <w:rFonts w:ascii="FrankRuehl" w:hAnsi="FrankRuehl" w:cs="FrankRuehl"/>
          <w:b/>
          <w:b/>
          <w:bCs/>
          <w:color w:val="000000"/>
          <w:u w:val="single"/>
          <w:rtl w:val="true"/>
          <w:lang w:eastAsia="he-IL"/>
        </w:rPr>
        <w:t xml:space="preserve">הנאשם </w:t>
      </w:r>
      <w:r>
        <w:rPr>
          <w:rFonts w:cs="FrankRuehl" w:ascii="FrankRuehl" w:hAnsi="FrankRuehl"/>
          <w:b/>
          <w:bCs/>
          <w:color w:val="000000"/>
          <w:u w:val="single"/>
          <w:lang w:eastAsia="he-IL"/>
        </w:rPr>
        <w:t>2</w:t>
      </w:r>
      <w:r>
        <w:rPr>
          <w:rFonts w:cs="FrankRuehl" w:ascii="FrankRuehl" w:hAnsi="FrankRuehl"/>
          <w:b/>
          <w:bCs/>
          <w:color w:val="000000"/>
          <w:u w:val="single"/>
          <w:rtl w:val="true"/>
          <w:lang w:eastAsia="he-IL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ascii="FrankRuehl" w:hAnsi="FrankRuehl" w:cs="FrankRuehl"/>
          <w:color w:val="000000"/>
          <w:rtl w:val="true"/>
          <w:lang w:eastAsia="he-IL"/>
        </w:rPr>
        <w:t>א</w:t>
      </w:r>
      <w:r>
        <w:rPr>
          <w:rFonts w:cs="FrankRuehl" w:ascii="FrankRuehl" w:hAnsi="FrankRuehl"/>
          <w:color w:val="000000"/>
          <w:rtl w:val="true"/>
          <w:lang w:eastAsia="he-IL"/>
        </w:rPr>
        <w:t>.</w:t>
        <w:tab/>
      </w:r>
      <w:r>
        <w:rPr>
          <w:rFonts w:cs="FrankRuehl" w:ascii="FrankRuehl" w:hAnsi="FrankRuehl"/>
          <w:color w:val="000000"/>
          <w:lang w:eastAsia="he-IL"/>
        </w:rPr>
        <w:t>19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cs="FrankRuehl"/>
          <w:color w:val="000000"/>
          <w:rtl w:val="true"/>
          <w:lang w:eastAsia="he-IL"/>
        </w:rPr>
        <w:t>חודשי מאסר בפועל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cs="FrankRuehl"/>
          <w:color w:val="000000"/>
          <w:rtl w:val="true"/>
          <w:lang w:eastAsia="he-IL"/>
        </w:rPr>
        <w:t>מיום מעצרו</w:t>
      </w:r>
      <w:r>
        <w:rPr>
          <w:rFonts w:cs="FrankRuehl" w:ascii="FrankRuehl" w:hAnsi="FrankRuehl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ascii="FrankRuehl" w:hAnsi="FrankRuehl" w:cs="FrankRuehl"/>
          <w:color w:val="000000"/>
          <w:rtl w:val="true"/>
          <w:lang w:eastAsia="he-IL"/>
        </w:rPr>
        <w:t>ב</w:t>
      </w:r>
      <w:r>
        <w:rPr>
          <w:rFonts w:cs="FrankRuehl" w:ascii="FrankRuehl" w:hAnsi="FrankRuehl"/>
          <w:color w:val="000000"/>
          <w:rtl w:val="true"/>
          <w:lang w:eastAsia="he-IL"/>
        </w:rPr>
        <w:t>.</w:t>
        <w:tab/>
      </w:r>
      <w:r>
        <w:rPr>
          <w:rFonts w:cs="FrankRuehl" w:ascii="FrankRuehl" w:hAnsi="FrankRuehl"/>
          <w:color w:val="000000"/>
          <w:lang w:eastAsia="he-IL"/>
        </w:rPr>
        <w:t>12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cs="FrankRuehl"/>
          <w:color w:val="000000"/>
          <w:rtl w:val="true"/>
          <w:lang w:eastAsia="he-IL"/>
        </w:rPr>
        <w:t>חודשי מאסר על תנאי למשך שלוש שנים מיום שחרורו מהמאסר שלא יעבור עבירת נשק המסווגת כפשע</w:t>
      </w:r>
      <w:r>
        <w:rPr>
          <w:rFonts w:cs="FrankRuehl" w:ascii="FrankRuehl" w:hAnsi="FrankRuehl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ascii="FrankRuehl" w:hAnsi="FrankRuehl" w:cs="FrankRuehl"/>
          <w:color w:val="000000"/>
          <w:rtl w:val="true"/>
          <w:lang w:eastAsia="he-IL"/>
        </w:rPr>
        <w:t>ג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. </w:t>
        <w:tab/>
      </w:r>
      <w:r>
        <w:rPr>
          <w:rtl w:val="true"/>
          <w:lang w:eastAsia="he-IL"/>
        </w:rPr>
        <w:t>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20,000</w:t>
      </w:r>
      <w:r>
        <w:rPr>
          <w:rtl w:val="true"/>
          <w:lang w:eastAsia="he-IL"/>
        </w:rPr>
        <w:t xml:space="preserve"> </w:t>
      </w:r>
      <w:r>
        <w:rPr>
          <w:rFonts w:eastAsia="David" w:ascii="David" w:hAnsi="David"/>
          <w:rtl w:val="true"/>
          <w:lang w:eastAsia="he-IL"/>
        </w:rPr>
        <w:t>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תחתיו</w:t>
      </w:r>
      <w:r>
        <w:rPr>
          <w:rtl w:val="true"/>
          <w:lang w:eastAsia="he-IL"/>
        </w:rPr>
        <w:t>.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cs="FrankRuehl"/>
          <w:color w:val="000000"/>
          <w:rtl w:val="true"/>
          <w:lang w:eastAsia="he-IL"/>
        </w:rPr>
        <w:t>הקנס ישולם ב</w:t>
      </w:r>
      <w:r>
        <w:rPr>
          <w:rFonts w:cs="FrankRuehl" w:ascii="FrankRuehl" w:hAnsi="FrankRuehl"/>
          <w:color w:val="000000"/>
          <w:rtl w:val="true"/>
          <w:lang w:eastAsia="he-IL"/>
        </w:rPr>
        <w:t>-</w:t>
      </w:r>
      <w:r>
        <w:rPr>
          <w:rFonts w:cs="FrankRuehl" w:ascii="FrankRuehl" w:hAnsi="FrankRuehl"/>
          <w:color w:val="000000"/>
          <w:lang w:eastAsia="he-IL"/>
        </w:rPr>
        <w:t>5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cs="FrankRuehl"/>
          <w:color w:val="000000"/>
          <w:rtl w:val="true"/>
          <w:lang w:eastAsia="he-IL"/>
        </w:rPr>
        <w:t xml:space="preserve">תשלומים חודשיים שווים ורצופים החל מיום </w:t>
      </w:r>
      <w:r>
        <w:rPr>
          <w:rFonts w:cs="FrankRuehl" w:ascii="FrankRuehl" w:hAnsi="FrankRuehl"/>
          <w:color w:val="000000"/>
          <w:lang w:eastAsia="he-IL"/>
        </w:rPr>
        <w:t>15.5.18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. </w:t>
      </w:r>
      <w:r>
        <w:rPr>
          <w:rFonts w:ascii="FrankRuehl" w:hAnsi="FrankRuehl" w:cs="FrankRuehl"/>
          <w:color w:val="000000"/>
          <w:rtl w:val="true"/>
          <w:lang w:eastAsia="he-IL"/>
        </w:rPr>
        <w:t>תשלום שלא ישולם במועדו יעמיד את כל יתרת הסכום לפרעון מיידי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cs="FrankRuehl" w:ascii="FrankRuehl" w:hAnsi="FrankRuehl"/>
          <w:color w:val="000000"/>
          <w:rtl w:val="true"/>
          <w:lang w:eastAsia="he-IL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b/>
          <w:bCs/>
          <w:color w:val="000000"/>
          <w:u w:val="single"/>
          <w:lang w:eastAsia="he-IL"/>
        </w:rPr>
      </w:pPr>
      <w:r>
        <w:rPr>
          <w:rFonts w:ascii="FrankRuehl" w:hAnsi="FrankRuehl" w:cs="FrankRuehl"/>
          <w:b/>
          <w:b/>
          <w:bCs/>
          <w:color w:val="000000"/>
          <w:u w:val="single"/>
          <w:rtl w:val="true"/>
          <w:lang w:eastAsia="he-IL"/>
        </w:rPr>
        <w:t xml:space="preserve">הנאשם </w:t>
      </w:r>
      <w:r>
        <w:rPr>
          <w:rFonts w:cs="FrankRuehl" w:ascii="FrankRuehl" w:hAnsi="FrankRuehl"/>
          <w:b/>
          <w:bCs/>
          <w:color w:val="000000"/>
          <w:u w:val="single"/>
          <w:lang w:eastAsia="he-IL"/>
        </w:rPr>
        <w:t>3</w:t>
      </w:r>
    </w:p>
    <w:p>
      <w:pPr>
        <w:pStyle w:val="Normal"/>
        <w:spacing w:lineRule="auto" w:line="360"/>
        <w:ind w:hanging="720" w:start="1440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ascii="FrankRuehl" w:hAnsi="FrankRuehl" w:cs="FrankRuehl"/>
          <w:color w:val="000000"/>
          <w:rtl w:val="true"/>
          <w:lang w:eastAsia="he-IL"/>
        </w:rPr>
        <w:t>א</w:t>
      </w:r>
      <w:r>
        <w:rPr>
          <w:rFonts w:cs="FrankRuehl" w:ascii="FrankRuehl" w:hAnsi="FrankRuehl"/>
          <w:color w:val="000000"/>
          <w:rtl w:val="true"/>
          <w:lang w:eastAsia="he-IL"/>
        </w:rPr>
        <w:t>.</w:t>
        <w:tab/>
      </w:r>
      <w:r>
        <w:rPr>
          <w:rFonts w:cs="FrankRuehl" w:ascii="FrankRuehl" w:hAnsi="FrankRuehl"/>
          <w:color w:val="000000"/>
          <w:lang w:eastAsia="he-IL"/>
        </w:rPr>
        <w:t>77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cs="FrankRuehl"/>
          <w:color w:val="000000"/>
          <w:rtl w:val="true"/>
          <w:lang w:eastAsia="he-IL"/>
        </w:rPr>
        <w:t>ימי מאסר בפועל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cs="FrankRuehl"/>
          <w:color w:val="000000"/>
          <w:rtl w:val="true"/>
          <w:lang w:eastAsia="he-IL"/>
        </w:rPr>
        <w:t>בניכוי ימי מעצרו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. </w:t>
      </w:r>
      <w:r>
        <w:rPr>
          <w:rFonts w:ascii="FrankRuehl" w:hAnsi="FrankRuehl" w:cs="FrankRuehl"/>
          <w:color w:val="000000"/>
          <w:rtl w:val="true"/>
          <w:lang w:eastAsia="he-IL"/>
        </w:rPr>
        <w:t>מובהר בזה כי הנאשם נשא את מלוא תקופת המאסר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cs="FrankRuehl"/>
          <w:color w:val="000000"/>
          <w:rtl w:val="true"/>
          <w:lang w:eastAsia="he-IL"/>
        </w:rPr>
        <w:t xml:space="preserve">בהיותו במעצר מתאריך </w:t>
      </w:r>
      <w:r>
        <w:rPr>
          <w:rFonts w:cs="FrankRuehl" w:ascii="FrankRuehl" w:hAnsi="FrankRuehl"/>
          <w:color w:val="000000"/>
          <w:lang w:eastAsia="he-IL"/>
        </w:rPr>
        <w:t>10.10.17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cs="FrankRuehl"/>
          <w:color w:val="000000"/>
          <w:rtl w:val="true"/>
          <w:lang w:eastAsia="he-IL"/>
        </w:rPr>
        <w:t xml:space="preserve">ועד לתאריך </w:t>
      </w:r>
      <w:r>
        <w:rPr>
          <w:rFonts w:cs="FrankRuehl" w:ascii="FrankRuehl" w:hAnsi="FrankRuehl"/>
          <w:color w:val="000000"/>
          <w:lang w:eastAsia="he-IL"/>
        </w:rPr>
        <w:t>25.12.17</w:t>
      </w:r>
      <w:r>
        <w:rPr>
          <w:rFonts w:cs="FrankRuehl" w:ascii="FrankRuehl" w:hAnsi="FrankRuehl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ascii="FrankRuehl" w:hAnsi="FrankRuehl" w:cs="FrankRuehl"/>
          <w:color w:val="000000"/>
          <w:rtl w:val="true"/>
          <w:lang w:eastAsia="he-IL"/>
        </w:rPr>
        <w:t>ב</w:t>
      </w:r>
      <w:r>
        <w:rPr>
          <w:rFonts w:cs="FrankRuehl" w:ascii="FrankRuehl" w:hAnsi="FrankRuehl"/>
          <w:color w:val="000000"/>
          <w:rtl w:val="true"/>
          <w:lang w:eastAsia="he-IL"/>
        </w:rPr>
        <w:t>.</w:t>
        <w:tab/>
      </w:r>
      <w:r>
        <w:rPr>
          <w:rFonts w:cs="FrankRuehl" w:ascii="FrankRuehl" w:hAnsi="FrankRuehl"/>
          <w:color w:val="000000"/>
          <w:lang w:eastAsia="he-IL"/>
        </w:rPr>
        <w:t>6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cs="FrankRuehl"/>
          <w:color w:val="000000"/>
          <w:rtl w:val="true"/>
          <w:lang w:eastAsia="he-IL"/>
        </w:rPr>
        <w:t>חודשי מאסר על תנאי למשך שנתיים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cs="FrankRuehl"/>
          <w:color w:val="000000"/>
          <w:rtl w:val="true"/>
          <w:lang w:eastAsia="he-IL"/>
        </w:rPr>
        <w:t>שלא יעבור עבירת נשק המסווגת כפשע</w:t>
      </w:r>
      <w:r>
        <w:rPr>
          <w:rFonts w:cs="FrankRuehl" w:ascii="FrankRuehl" w:hAnsi="FrankRuehl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cs="FrankRuehl" w:ascii="FrankRuehl" w:hAnsi="FrankRuehl"/>
          <w:color w:val="000000"/>
          <w:rtl w:val="true"/>
          <w:lang w:eastAsia="he-IL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FrankRuehl" w:hAnsi="FrankRuehl" w:cs="FrankRuehl"/>
          <w:b/>
          <w:bCs/>
          <w:color w:val="000000"/>
          <w:lang w:eastAsia="he-IL"/>
        </w:rPr>
      </w:pPr>
      <w:r>
        <w:rPr>
          <w:rFonts w:ascii="FrankRuehl" w:hAnsi="FrankRuehl" w:cs="FrankRuehl"/>
          <w:b/>
          <w:b/>
          <w:bCs/>
          <w:color w:val="000000"/>
          <w:rtl w:val="true"/>
          <w:lang w:eastAsia="he-IL"/>
        </w:rPr>
        <w:t xml:space="preserve">זכות ערעור תוך </w:t>
      </w:r>
      <w:r>
        <w:rPr>
          <w:rFonts w:cs="FrankRuehl" w:ascii="FrankRuehl" w:hAnsi="FrankRuehl"/>
          <w:b/>
          <w:bCs/>
          <w:color w:val="000000"/>
          <w:lang w:eastAsia="he-IL"/>
        </w:rPr>
        <w:t>45</w:t>
      </w:r>
      <w:r>
        <w:rPr>
          <w:rFonts w:cs="FrankRuehl" w:ascii="FrankRuehl" w:hAnsi="FrankRuehl"/>
          <w:b/>
          <w:bCs/>
          <w:color w:val="000000"/>
          <w:rtl w:val="true"/>
          <w:lang w:eastAsia="he-IL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rtl w:val="true"/>
          <w:lang w:eastAsia="he-IL"/>
        </w:rPr>
        <w:t>יום</w:t>
      </w:r>
      <w:r>
        <w:rPr>
          <w:rFonts w:cs="FrankRuehl" w:ascii="FrankRuehl" w:hAnsi="FrankRuehl"/>
          <w:b/>
          <w:bCs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color w:val="000000"/>
          <w:lang w:eastAsia="he-IL"/>
        </w:rPr>
      </w:pPr>
      <w:r>
        <w:rPr>
          <w:rFonts w:cs="FrankRuehl" w:ascii="FrankRuehl" w:hAnsi="FrankRuehl"/>
          <w:b/>
          <w:bCs/>
          <w:color w:val="000000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5"/>
      <w:footerReference w:type="default" r:id="rId1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48506-10-17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טאהר שיח ח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ליל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635" w:hanging="915"/>
      </w:pPr>
      <w:rPr>
        <w:rFonts w:cs="David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David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b.2." TargetMode="External"/><Relationship Id="rId6" Type="http://schemas.openxmlformats.org/officeDocument/2006/relationships/hyperlink" Target="http://www.nevo.co.il/law/70301/260.a" TargetMode="External"/><Relationship Id="rId7" Type="http://schemas.openxmlformats.org/officeDocument/2006/relationships/hyperlink" Target="http://www.nevo.co.il/law/70301/144.b.2.;3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260.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5707014" TargetMode="External"/><Relationship Id="rId14" Type="http://schemas.openxmlformats.org/officeDocument/2006/relationships/hyperlink" Target="http://www.nevo.co.il/advertisements/nevo-100.doc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2018-10-07T13:51:00Z</dcterms:created>
  <dc:creator> </dc:creator>
  <dc:description/>
  <cp:keywords/>
  <dc:language>en-IL</dc:language>
  <cp:lastModifiedBy>run</cp:lastModifiedBy>
  <dcterms:modified xsi:type="dcterms:W3CDTF">2018-10-07T13:51:00Z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טאהר שיח ח'ליל;מחמד אלקתנאני;באהאלדין אלקתנאני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5707014</vt:lpwstr>
  </property>
  <property fmtid="{D5CDD505-2E9C-101B-9397-08002B2CF9AE}" pid="9" name="CITY">
    <vt:lpwstr>ב"ש</vt:lpwstr>
  </property>
  <property fmtid="{D5CDD505-2E9C-101B-9397-08002B2CF9AE}" pid="10" name="DATE">
    <vt:lpwstr>20180412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אליהו ביתן</vt:lpwstr>
  </property>
  <property fmtid="{D5CDD505-2E9C-101B-9397-08002B2CF9AE}" pid="14" name="LAWLISTTMP1">
    <vt:lpwstr>70301/144.b.2;031;144.b;260.a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48506</vt:lpwstr>
  </property>
  <property fmtid="{D5CDD505-2E9C-101B-9397-08002B2CF9AE}" pid="22" name="NEWPARTB">
    <vt:lpwstr>10</vt:lpwstr>
  </property>
  <property fmtid="{D5CDD505-2E9C-101B-9397-08002B2CF9AE}" pid="23" name="NEWPARTC">
    <vt:lpwstr>17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390020180412</vt:lpwstr>
  </property>
  <property fmtid="{D5CDD505-2E9C-101B-9397-08002B2CF9AE}" pid="34" name="TYPE_N_DATE">
    <vt:lpwstr>39020180412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