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48978-07-21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בוהדנה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ערן צרויה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פלג בוהדנה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אלכסנדר שאולוב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Cs/>
          <w:sz w:val="32"/>
          <w:sz w:val="32"/>
          <w:szCs w:val="32"/>
          <w:u w:val="single"/>
          <w:rtl w:val="true"/>
        </w:rPr>
        <w:t xml:space="preserve">לנאשם </w:t>
      </w:r>
      <w:r>
        <w:rPr>
          <w:rFonts w:cs="David" w:ascii="David" w:hAnsi="David"/>
          <w:bCs/>
          <w:sz w:val="32"/>
          <w:szCs w:val="32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32"/>
          <w:szCs w:val="32"/>
          <w:u w:val="single"/>
          <w:lang w:eastAsia="he-IL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כתבי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9" w:name="ABSTRACT_START"/>
      <w:bookmarkEnd w:id="9"/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כא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</w:t>
      </w:r>
      <w:r>
        <w:rPr>
          <w:rFonts w:ascii="David" w:hAnsi="David"/>
          <w:rtl w:val="true"/>
        </w:rPr>
        <w:t>בעבירות בנשק נשיאה והובלה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כא</w:t>
      </w:r>
      <w:r>
        <w:rPr>
          <w:rtl w:val="true"/>
          <w:lang w:eastAsia="he-IL"/>
        </w:rPr>
        <w:t>/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30.6.21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20:47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F</w:t>
      </w:r>
      <w:r>
        <w:rPr>
          <w:lang w:eastAsia="he-IL"/>
        </w:rPr>
        <w:t>941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119254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b/>
          <w:bCs/>
          <w:rtl w:val="true"/>
          <w:lang w:eastAsia="he-IL"/>
        </w:rPr>
        <w:t>"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נגנב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13.10.04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30.6.21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20:43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יזומה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20:43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בפתאומיות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הדלת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המחסום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רדפו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אופנוע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אופנוע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בנסיעתם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סיטרי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בניגוד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התנועה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השוטרת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להשלמת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יצויין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צירף כתב אישום מ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5832-06-19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במסגרתו הינו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 שלושה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על פי הודאתו בעובדותיו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התפרצות למגורים לבצע עבירה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בצירוף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גניבה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היזק לרכוש במזיד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בצירוף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והחזקת סכין שלא כדין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186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כא</w:t>
      </w:r>
      <w:r>
        <w:rPr>
          <w:rtl w:val="true"/>
          <w:lang w:eastAsia="he-IL"/>
        </w:rPr>
        <w:t>/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21.5.19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11:00-12:30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ונאשמים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למרפסת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המטבח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ומתצפת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תכשיטי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328,800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השייכים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ממשלתיות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ודרכונים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כרטיסי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1,123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דולר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180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טורקיות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המדרגות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מכשירים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Fonts w:ascii="David" w:hAnsi="David"/>
          <w:rtl w:val="true"/>
        </w:rPr>
        <w:t>נאשם צירף את כתב האישום מ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5832-06-10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בעובדות שני כתבי האישום והורשע כמפורט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לענישה 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הסכמות עונשיות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צד חופשי בטיעוניו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ביחס לתיק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הודיעו הצדדים כי הגיעו להסדר טיעון מול התביעות אשר טיפלו בתיק אשר במקור הינו מבית משפט השלום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כאמור מתייחס אך ורק לתיק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יעתרו במשותף להשית על הנאשם בגין התיק המצורף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יופעל 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התלוי נגד הנאשם 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63616-11-16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שמחציתו תרוצה במצטבר לעונש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ומחציתו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ומאסר מותנה נוסף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עבירות החזקת סכין שלא כדין יופעל בחופף למאסר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יושתו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התיק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הפעלת מאסרים מותנים בגינו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הוסכם בין הצדדים כי מתוך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המאסר בגין התיק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ירוצו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בחופף לכל עונש שייגזר בתיק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 בתיק הנשק הראשי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על פי ההסכמות 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יעתרו הצדדים במשותף להשית על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מימוש התחייבות מ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63616-11-16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בסך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תשלום פיצוי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לנפגע העבירה 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תשלום קנס בסך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מאסרים מותנים לשיקול דעת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והשתת התחייבות חדשה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הסכמות עונשיות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צד טען טיעון פתוח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במסגרת הראיות לעונש מטעם המאשימה הוגש הרישום הפלילי והתעבורתי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וגזר הדין מבית המשפט השלום באשקלון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63616-11-16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קיימים המאסרים המותנים המופעלים בהסכמה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הרישום הפלילי 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 הנאשם עבירות רבות של התחזות לאדם אחר במטרה להונות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במסמך מזויף בכוונה לקבל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להונאה בכרטיס 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והונאה בכרטיס 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מכשירי פריצה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לבניין שאינו דירה וביצוע 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והחזקת אגרופן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2012-2016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בגינן הוטל על הנאשם מאסר בפועל למשך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הפרת הוראה חוקית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ניסיון לקבלת דבר במרמה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שיבוש מהלכי משפט וחבלה כשעבריין מזויין בגינן הוטלו שישה חודשי מאסר בפועל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ורישום בגין הרשעה שאינה רלבנטית מבית דין צבאי בדבר העדר מהשירות שלא ברשות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אינני מוצא רלבנטיות לרישום התעבורתי אשר הוגש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 הראיות לעונש מטעם ההגנה העידה אשת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אמרה כי לה שלושה ילדים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 מהן היא ילדה המשותפת לה ולנאשם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כעת בהיריון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אינה עובדת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 הכלכלי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המפרנסת היחידה והיא מכרה את ביתה כדי לשלם את החובות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מספר איומים על חייו של הנאשם ועל חיי המשפחה ובטחון המשפחה ולכן מכרה את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יש ילדים קטנים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נקלע לסיטואציה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ישן בלילה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וחובותיהם היו בערך </w:t>
      </w:r>
      <w:r>
        <w:rPr>
          <w:rFonts w:cs="David" w:ascii="David" w:hAnsi="David"/>
        </w:rPr>
        <w:t>500,000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התסקיר הראשון מיום </w:t>
      </w:r>
      <w:r>
        <w:rPr>
          <w:rFonts w:cs="David" w:ascii="David" w:hAnsi="David"/>
        </w:rPr>
        <w:t>2.3.22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הינו למעשה הודעה דחופה של שירות המבחן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במסגרת הליך המעצר שולב בקהילה טיפולית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מלכישוע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בשלב מסוים עלו קשיים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החליט לעזוב את הקהילה וכך עשה ביום </w:t>
      </w:r>
      <w:r>
        <w:rPr>
          <w:rFonts w:cs="David" w:ascii="David" w:hAnsi="David"/>
        </w:rPr>
        <w:t>1.3.22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התסקיר השני מיום </w:t>
      </w:r>
      <w:r>
        <w:rPr>
          <w:rFonts w:cs="David" w:ascii="David" w:hAnsi="David"/>
        </w:rPr>
        <w:t>7.3.22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שהתקיים דיון ונערכה בדיקה האם הקהילה תהיה מוכנה לקבלו חזרה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 הקהילה היתה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קיימת מסוגלות נמוכה לצלוח השתלבות מחדש בקהילה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מתרשם מדפוסים התמכרותיים מושרשים לצד העדר דרכים מועילות להתמודד עם מצבי משבר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מגדיר את רמת הסיכון להישנות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ומאחר וההליך הטיפולי לא צלח ממליץ שירות המבחן על סיום ההליך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לחילופין על בחינה מחדש של מוכנות הנאשם להשתלב בקהילה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מלכישוע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בעוד כשלושה 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בדיון שהתקיים ביום </w:t>
      </w:r>
      <w:r>
        <w:rPr>
          <w:rFonts w:cs="David" w:ascii="David" w:hAnsi="David"/>
        </w:rPr>
        <w:t>7.3.22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בהסכמה נעצר הנאשם החל מיום </w:t>
      </w:r>
      <w:r>
        <w:rPr>
          <w:rFonts w:cs="David" w:ascii="David" w:hAnsi="David"/>
        </w:rPr>
        <w:t>8.3.22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תום ההליכים כנגדו בתיק העיקרי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הוגש התסקיר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6.4.22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ולפיו שירות המבחן מתרשם כי לנאשם דפוסים התמכרותיים מושרשים והעדר דרכים יעילות להתמודדות עם מצבי משבר בחייו דבר המגביר את רמת הסיכון להישנות עבירות בפרט בהעדר טיפול מעמיק במסגרת קהילה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כי הוא חווה תסכול ואכזבה מיחס הגורמים המטפלים בקהילה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ואמר כי אינו מעוניין להשתלב מחדש בטיפול במסגרת קהילה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עודנו מעוניין להמשיך ולטפל בדפוסיו ההתמכרותיים ושואף להתמיד בטיפול ובשיקום במסגרת המאסר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בהערכת גורמי הסיכוי לשיקום התרשם שירות המבחן מהרצון שהנאשם מבטא להמשיך ולהיעזר בגורמים טיפוליים ומההתמדה בתוכנית השיקום בקהילה במהלך החודשיים וחצי בהם שהה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ומדיווח על שינויים שעושה וקשרים שבחר לנתק אשר לדבריו היוו השפעה שלילית עבורו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מדפוסים התמכרותיים ועבריינים מושרשים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למר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 מוטיבציה שמבטא הנאשם לשיקום הוא מתקשה בכך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מתאפיינת בחוסר יציבות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 תפקוד והתמדה במסגרות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גבולות מטושטשים והעדר הפנמת אפקט הרתעתי מהליכי משפט וענישה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בהעדר טיפול מעמיק בהתמכרויות לסמים והימורים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והעדר טיפול בדפוסיו העבריינים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סיכון גבוה להישנות התנהגות עוברת 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בידי שירות המבחן לבוא בהמלצה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ממליץ על המשך טיפול ושיקום בתחום ההתמכרויות והעבריינות ועל שילובו של הנאשם באגף למכורים נקיים במסגרת המאסר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כ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הצדדים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הערך החברתי המוגן העומד בבסיס עבירות הנשק הינו הגנה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ועבירות אלו כרוכות בעצם מהותן בחומרה יתרה הנובעת מהסיכון הרב הטמון בשימוש בנשק לפגיעה בגוף ובנפש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הסכנה היא לבטחון הציבור כולו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רשויות האכיפה ובכללן בית המשפט לתת הגנה לאזרחים מפני סכנה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זעקת האזרחים ומשפחות קורבנות הדמים של השימוש בנשק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חשיבות ההרתעה והגמול מקבלת משנה תוקף ויש להטיל מאסר ממושך וקנס כספי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הדברים אמורים ביתר שאת כאשר מדובר במי שמתנייד ברכב ברחבי העיר כשמאמתחתו נשק דרוך וטעון ומוכן לפעולה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החזקת הנשק הינה ברף החומרה הגבוה המהווה סכנה מוחשית ומידית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והתנהלות הנאשם כמפורט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מעצימה את 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בערכים המוגנים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שהנאשם הוביל נשק דרוך ומוכן לפעולה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וניסה להתחמק ממחסום משטרתי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לחומרת 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מגמת ההחמרה בעבירות נשק ונסיבות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לענישה במסגרת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קיבל הזדמנות שלא מקבל כל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בתיק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שוחרר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בית המשפט העליון לחלופה טיפולית כדי להיגמל ולשקם את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ולמרבה הצעיר לא השכיל לנצל את ההזדמנות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ולצאת לדרך 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שהיום לא חל כל שינוי בדפוסים שלו ובמסוכנות שלו לציבור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שהיו ביום 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לכך שמדובר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אישיות קשות ככל שיהיו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שנשמעה אשת הנאשם המתמודדת עם קשיים לא פשוטים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אלו צריכות ליסוג מפני הצורך להלום את המעשים שבוצעו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עותרים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להטיל על הנאשם בתיק העיקרי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בעבירות נשק וקנס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בצירוף לעונשים שנגזרו עליו בהסכמה במסגרת התיק שצורף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פי ההסכמה בתיק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התבקש כי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מהענישה בתיק המצורף ירוצו בחופף למאסר שיוטל בתיק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להסדר הטיעון בתיק המצורף נאמר כי בסיסו נעוץ בקשיים ראייתיים שעלו במסגרת התיק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בעובדה שהנאשם הודה וחסך 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 הולם את העבירות ואת נסיבות המעשים לאחר תיקון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מתבקש שבית המשפט בתיק שבפניו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ינסה להתחשב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במשבר הקשה שהנאשם נקלע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עשה ניסיונות שיקום אדירים שנקטעו בגין ביצוע העבירה הנדונה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מלכתחילה הנאשם שוחרר בתיק השלום שצורף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ובאמת היה בתהליך שיקום אחד המוצלחים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כמעט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מעת לעת שירות המבחן שילב אותו בקבוצות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ובמשך כמעט שנתיים הנאשם עלה על דרך המלך הכיר את 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הביאו ילדה לעולם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 היה שהנאשם מנצל את ההזדמנות שניתנה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ועובר תהליך שיקום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למרבה הצער עקב הסתבכות בהימורים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נקלע הנאשם לחובות קשים מול גורמים עברייניים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וההסתבכות הכלכלית הביאה אותם למכור את בית 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להציל את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בעלה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ולכסות את החובות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הנאשם הודה כבר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והסבריו היו שהוא נתון בלחצים קשים ובאיומים עליו ועל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ומעשיו נבעו בשל עובדה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לנאשם לא היו עבירות נשק ולא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התבקש כי בית המשפט יתחשב בעונש הכולל המוטל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גם בתיק הזה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שה הנאשם מאמץ כביר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בסוף הנאשם נשבר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יכול היה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בא ובית המשפט אפשר לו הזדמנות והוא לא אכזב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עבר את העבירה עוד טרם התיקון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צריך לתת לו את מה שהיה נהוג בענישה בזמן שביצע את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צריך להיות נכון ליום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 דווקא ליום ביצוע מתן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זה נכון וראוי שהנאשם שעבר את העבירה טרם הפסיקה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ייגזרו עליו העונשים לפי המדדים הנוכחיים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הענישה הנוהגת היתה במקרה הטוב</w:t>
      </w:r>
      <w:r>
        <w:rPr>
          <w:rFonts w:cs="David" w:ascii="David" w:hAnsi="David"/>
          <w:rtl w:val="true"/>
        </w:rPr>
        <w:t xml:space="preserve">,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בממוצע העונש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עבר את השנה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הענישה שהיתה ניתנת בגין 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כשנה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גם עונשים יותר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 זאת בד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למי שהיה בעל עבר מכביד ולאו דווקא למי שהודה בהזדמנות ראשונה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התבקש לגזור על הנאשם עד שנה וחצי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כשהעונש מצטרף ל –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עונש כולל של יותר משלוש וחצי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 עונש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לאדם שנכנס פעם ראשונה לתקופת מאסר ממושכת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ריצה בעבר עונש מאסר אבל לא לתקופה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אבא לקטינים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אישה בהיריון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וחוויית המאסר קשה מנשוא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לקח אחריות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בפני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בהזדמנות 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מזמנו של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את 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ניקה את השולחן ובסופו של יום הולך לעונש מעל שלוש או אפילו שלוש וחצי 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התבקש לנהוג בנאשם במידת רחמים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ליתן משקל למצב האישי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שהנאשם מתחרט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תקווה שבסופו של העונש יעבור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כי הוא מודה לבית המשפט שנתן בו אמון ללכת ולחזור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אכזב ומבקש להתחשב בו בכך שנקלע למצב שהיה תחת 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ידע מה הוא עושה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מאויים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היום כשנולדה לו ילדה ועוד אחת בדרך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רוצה לשקם את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לבנות את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רוצה שילדיו ילמדו את מה שהוא עושה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להתחשב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עבירת הנשק</w:t>
      </w:r>
      <w:r>
        <w:rPr>
          <w:rFonts w:cs="David" w:ascii="David" w:hAnsi="David"/>
          <w:rtl w:val="true"/>
        </w:rPr>
        <w:t xml:space="preserve">,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48978-07-21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בין הצדדים כל הסכמה עונשית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ביחס לכתב האישום המצורף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הסכמה 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לאמור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5">
        <w:r>
          <w:rPr>
            <w:rStyle w:val="Hyperlink"/>
            <w:rFonts w:cs="David" w:ascii="David" w:hAnsi="David"/>
            <w:color w:val="0000FF"/>
            <w:u w:val="single"/>
          </w:rPr>
          <w:t>512/13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והגישה המועלית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מוצא מקום לקביעת מתחם עונש הולם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ההסכמה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כך שאינני מוצא ספק בכיבוד ההסדר בתיק המצורף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המפורט להלן ביחס למתחם עונש הולם וקביעתו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בהתייחס לתיק העיקרי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ביצע עבירת נשיאה והובלה של נשק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החזיק באקדח עם מחסנית אשר נגנב מבעליו שנים קודם לכן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את הנשק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כשהנשק דרוך וכדור נמצא בקנה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ובמחסנית שני כדורים 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בעבירה אשר 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הוא באינטרסים המוגנים שהם 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והגנה על שלטון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2482/22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קדורה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14.4.2022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נפסקו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בשורה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שהפכו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ומגלמות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ולביטחונו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בהתאם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ניכרת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מאיימת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ובטחונו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היקפן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המתרחב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הזמינות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מהווה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ומגבירה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כמו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לאסונות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נוראיים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לנקוט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ענייננו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ידע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צפוי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להיענש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בחומרה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נשלחים</w:t>
      </w:r>
      <w:r>
        <w:rPr>
          <w:rFonts w:cs="Calibri" w:ascii="Calibri" w:hAnsi="Calibri"/>
          <w:b/>
          <w:bCs/>
          <w:rtl w:val="true"/>
        </w:rPr>
        <w:t>"".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4406/19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סובח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5.11.2019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אולם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לעיתים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מספקת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ביסודה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נפיצותן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ההופכות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מדינה</w:t>
      </w:r>
      <w:r>
        <w:rPr>
          <w:rFonts w:cs="Calibri" w:ascii="Calibri" w:hAnsi="Calibri"/>
          <w:b/>
          <w:bCs/>
          <w:rtl w:val="true"/>
        </w:rPr>
        <w:t xml:space="preserve">", </w:t>
      </w:r>
      <w:r>
        <w:rPr>
          <w:rFonts w:ascii="Calibri" w:hAnsi="Calibri" w:cs="Calibri"/>
          <w:b/>
          <w:b/>
          <w:bCs/>
          <w:rtl w:val="true"/>
        </w:rPr>
        <w:t>ולתת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להן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2101/21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טוביה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29.7.2021</w:t>
      </w:r>
      <w:r>
        <w:rPr>
          <w:rFonts w:cs="Calibri" w:ascii="Calibri" w:hAnsi="Calibri"/>
          <w:rtl w:val="true"/>
        </w:rPr>
        <w:t xml:space="preserve">) - </w:t>
      </w:r>
      <w:r>
        <w:rPr>
          <w:rFonts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rtl w:val="true"/>
          <w:lang w:eastAsia="he-IL"/>
        </w:rPr>
        <w:t>יש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להחמיר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בענישה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בגין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עבירות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</w:t>
      </w:r>
      <w:r>
        <w:rPr>
          <w:rFonts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rtl w:val="true"/>
          <w:lang w:eastAsia="he-IL"/>
        </w:rPr>
        <w:t>יעדו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הסופי</w:t>
      </w:r>
      <w:r>
        <w:rPr>
          <w:rFonts w:cs="Calibri" w:ascii="Calibri" w:hAnsi="Calibri"/>
          <w:b/>
          <w:bCs/>
          <w:rtl w:val="true"/>
          <w:lang w:eastAsia="he-IL"/>
        </w:rPr>
        <w:t xml:space="preserve">" </w:t>
      </w:r>
      <w:r>
        <w:rPr>
          <w:rFonts w:ascii="Calibri" w:hAnsi="Calibri" w:cs="Calibri"/>
          <w:b/>
          <w:b/>
          <w:bCs/>
          <w:rtl w:val="true"/>
          <w:lang w:eastAsia="he-IL"/>
        </w:rPr>
        <w:t>אינו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נהיר</w:t>
      </w:r>
      <w:r>
        <w:rPr>
          <w:rFonts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eastAsia="he-IL"/>
        </w:rPr>
        <w:t>לצערנו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בשנים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האחרונות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מורגשת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עלייה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בעבירות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נשק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והחברה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משלמת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כך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מחיר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כבד</w:t>
      </w:r>
      <w:r>
        <w:rPr>
          <w:rFonts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eastAsia="he-IL"/>
        </w:rPr>
        <w:t>במחיר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זה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נושאים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יותר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ויותר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גם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אזרחים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נורמטיביים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שאינם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מעורבים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בעולם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העברייני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בכלל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eastAsia="he-IL"/>
        </w:rPr>
        <w:t>ובעולם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הנשק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בפרט</w:t>
      </w:r>
      <w:r>
        <w:rPr>
          <w:rFonts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eastAsia="he-IL"/>
        </w:rPr>
        <w:t>ההיקף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הגדול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עבירות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הנשק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הופך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המרחב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הציבורי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למקום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מסוכן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יותר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ובטוח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פחות</w:t>
      </w:r>
      <w:r>
        <w:rPr>
          <w:rFonts w:cs="Calibri" w:ascii="Calibri" w:hAnsi="Calibri"/>
          <w:b/>
          <w:bCs/>
          <w:rtl w:val="true"/>
          <w:lang w:eastAsia="he-IL"/>
        </w:rPr>
        <w:t xml:space="preserve">."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lang w:eastAsia="he-IL"/>
        </w:rPr>
      </w:pP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25.06.2013</w:t>
      </w:r>
      <w:r>
        <w:rPr>
          <w:rFonts w:cs="Calibri" w:ascii="Calibri" w:hAnsi="Calibri"/>
          <w:rtl w:val="true"/>
        </w:rPr>
        <w:t>):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שנפסק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לסוגיהן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מגלמות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ולבטחונו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יתגלגלו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ואיזה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בעתיד</w:t>
      </w:r>
      <w:r>
        <w:rPr>
          <w:rFonts w:cs="Calibri" w:ascii="Calibri" w:hAnsi="Calibri"/>
          <w:b/>
          <w:bCs/>
          <w:rtl w:val="true"/>
        </w:rPr>
        <w:t xml:space="preserve">." </w:t>
      </w:r>
    </w:p>
    <w:p>
      <w:pPr>
        <w:pStyle w:val="Normal"/>
        <w:ind w:end="0"/>
        <w:jc w:val="both"/>
        <w:rPr>
          <w:rFonts w:ascii="Arial" w:hAnsi="Arial" w:cs="Arial"/>
          <w:b/>
          <w:bCs/>
          <w:lang w:eastAsia="he-IL"/>
        </w:rPr>
      </w:pPr>
      <w:r>
        <w:rPr>
          <w:rFonts w:cs="Arial" w:ascii="Arial" w:hAnsi="Arial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ור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עוד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19.4.2004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אשר הדברים שנכתבו בו זה מכבר רלבנטיים גם כעת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השוררת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בארץ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והאידאולוגית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כאחד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>".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0" w:start="1440" w:end="90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Calibri" w:hAnsi="Calibri" w:cs="Calibri"/>
          <w:b/>
          <w:bCs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תוצאותיה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האינדיבידואלי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בקביעת מתחם העונש ההולם יש להתייחס לסוג וכמות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הנסיבות הנילוות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שם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בחינת מדיניות הענישה הנוהגת יש לבצע אבחנה מתאימה לפי נסיבות כל מקרה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5631/21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מדאגמה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ערעור על גזר דין שניתן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מותב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הורשעו המערערים בעבירות של ניסיון לשיבוש מהלכי משפט והחזקת נשק ותחמושת בכך שהחזיקו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מהם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בתוכם  מחסניות תואמת המכילות תחמושת מלאה וכדור בקנה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זרקו את האקדחים כאשר הגיעו למקום האירוע כוחות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והמערער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רץ אל מקום נפילת האקדחים כדי להעלימם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ונטל לידו את אחד משני האקדחים והחל לרוץ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למערערים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ולמערער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לחובתו עבר פלילי הכולל הרשעה אחת בעבירת החזקת תחמושת ומאסר מותנה בר הפעלה הוטלו 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והופעל המאסר המותנה כך שמחודש מתוכו במצטבר וחודשיים בחופף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המערער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כן צעיר נעדר עבר פלילי הוטלו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הוטלו קנסות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שצויין כי מדובר בנסיבות חמורות של ביצוע 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כלי נשק חצי אוטומטיים במקום ציבורי כאשר הם טעונים בתחמושת וכאשר כדור נמצא בקנה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נפסק כי על הענישה לשקף את הסיכון לחיי אדם שנוצר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את החומרה של הניסיון לשיבוש מהלכי משפט ולהעלים ממשטרת ישאל את האקדחים והתחמושת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alibri" w:hAnsi="Calibri" w:cs="Calibri"/>
          <w:rtl w:val="true"/>
        </w:rPr>
        <w:t>ב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2564/19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איברהים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אזברגה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Garamond" w:hAnsi="Garamond" w:cs="Garamond"/>
          <w:b/>
          <w:b/>
          <w:bCs/>
          <w:spacing w:val="10"/>
          <w:rtl w:val="true"/>
        </w:rPr>
        <w:t>מ</w:t>
      </w:r>
      <w:r>
        <w:rPr>
          <w:rFonts w:cs="Garamond" w:ascii="Garamond" w:hAnsi="Garamond"/>
          <w:b/>
          <w:bCs/>
          <w:spacing w:val="10"/>
          <w:rtl w:val="true"/>
        </w:rPr>
        <w:t>"</w:t>
      </w:r>
      <w:r>
        <w:rPr>
          <w:rFonts w:ascii="Garamond" w:hAnsi="Garamond" w:cs="Garamond"/>
          <w:b/>
          <w:b/>
          <w:bCs/>
          <w:spacing w:val="10"/>
          <w:rtl w:val="true"/>
        </w:rPr>
        <w:t>י</w:t>
      </w:r>
      <w:r>
        <w:rPr>
          <w:rFonts w:ascii="Garamond" w:hAnsi="Garamond" w:cs="Garamond"/>
          <w:spacing w:val="10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Times New Roman"/>
          <w:b/>
          <w:bCs/>
          <w:rtl w:val="true"/>
        </w:rPr>
        <w:t>‏</w:t>
      </w:r>
      <w:r>
        <w:rPr>
          <w:rFonts w:cs="Calibri" w:ascii="Calibri" w:hAnsi="Calibri"/>
        </w:rPr>
        <w:t>18.7.2019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גלוק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למחלף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פאדי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rtl w:val="true"/>
        </w:rPr>
        <w:t xml:space="preserve">הורשע המערער בעבירה של נשיאת נשק בכך שנשא אקדח טעון המחסנית שהכילה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ואשר נגנב חודשים אחדים קודם לכן בהתפרצות לדירה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הגיע למקום מפגש ליישוב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עימו ברכב ולאחר מכן במכנסיו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וכשהגיעו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העונש ההולם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וגזר על המערער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והערעור נדחה תוך שבית המשפט העליון ציין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 העונש שנגזר על המערער במקרה דנן אינו מן הקלים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אינו חורג באופן מהותי ממדיניות הענישה הנוהגת והראויה</w:t>
      </w:r>
      <w:r>
        <w:rPr>
          <w:rFonts w:cs="David" w:ascii="David" w:hAnsi="David"/>
          <w:b/>
          <w:bCs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וצויין עברו הפלילי המכביד של המערער והעובדה כי זמן קצר קודם לכן סיים לרצות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2398/14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אלהזייל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</w:t>
      </w:r>
      <w:r>
        <w:rPr>
          <w:rFonts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8.7.2014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10-24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עודתאללה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29.9.2013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של נשיאה והובלה של נשק שלא כדין לפי </w:t>
      </w:r>
      <w:hyperlink r:id="rId4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שהגיע לידיו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נהג ברכב כשהוא מוביל את האקדח ובו מחסנית ריקה מכדורים מוסתר תחת השטיחון שמתחת לכיסא הנהג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 המשפט המחוזי נקבע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למשך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וקנס בסך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בעניינו של הנאשם כאן החזקת האקדח כללה גם החזקת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וכדור בקנה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הנסיבות חמורות משמעותית יותר ממקרה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3156/11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זראיעה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Arial TUR" w:hAnsi="Arial TUR" w:cs="Arial TUR"/>
          <w:b/>
          <w:b/>
          <w:bCs/>
          <w:spacing w:val="10"/>
          <w:rtl w:val="true"/>
        </w:rPr>
        <w:t>מ</w:t>
      </w:r>
      <w:r>
        <w:rPr>
          <w:rFonts w:cs="Arial TUR" w:ascii="Arial TUR" w:hAnsi="Arial TUR"/>
          <w:b/>
          <w:bCs/>
          <w:spacing w:val="10"/>
          <w:rtl w:val="true"/>
        </w:rPr>
        <w:t>"</w:t>
      </w:r>
      <w:r>
        <w:rPr>
          <w:rFonts w:ascii="Arial TUR" w:hAnsi="Arial TUR" w:cs="Arial TUR"/>
          <w:b/>
          <w:b/>
          <w:bCs/>
          <w:spacing w:val="10"/>
          <w:rtl w:val="true"/>
        </w:rPr>
        <w:t>י</w:t>
      </w:r>
      <w:r>
        <w:rPr>
          <w:rFonts w:ascii="Arial TUR" w:hAnsi="Arial TUR" w:cs="Arial TUR"/>
          <w:spacing w:val="10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21.2.12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שהסליק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סמיטיווטסון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וקופסאות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4329/10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25.10.2010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המערער בעבירות של החזקת נשק ונשיאתו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שנמצא מחזיק באקדח טעון בתחמושת במצב נצור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 מאסר למשך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/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textAlignment w:val="baseline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מתחם העונש ההולם לשקף את חומרת המעשה והמענה העונשי המחמיר אשר יש ליתן לעבירות נשק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ולעבירת נשק המבוצעת בנסיבות החמורות הללו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החזקת אקדח כשהוא דרוך עם כדור בקנה ותחמושת נוספת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עבירת הנשק בתיק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ככולל מאסר בפועל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מקום להטיל גם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לאור המאסר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הנסיבות האישיות אשר 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יוטל קנס</w:t>
      </w:r>
      <w:r>
        <w:rPr>
          <w:rFonts w:cs="David" w:ascii="David" w:hAnsi="David"/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הענישה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1992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ולחובתו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עבר זה אינו כולל 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בשיקולים לקולא תובא קבלת האחריות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יובא הניסיון המסוים אשר היה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לבסוף לא צלח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היה במסגרת והנאשם עשה ניסיון משך כחודשיים ומחצה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יובאו הנסיבות האישיות המפורטות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הנאשם בקרוב יהיה אב לילדה נוספת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שיקולי הרתעת הרבים צריכים לקבל משקל של ממש בעבירות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חומרת נסיבות הביצוע והעבר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שאינו כולל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אלו צריכים היו להביא לענישה אשר תהיה מעל אמצע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הניסיונות של הנאשם לבצע הליכים טיפוליים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נסיבותיו האישיות המפורטות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לנכון להעמיד את הענישה מתחת לאמצע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גם לאור המאסר הנוסף אשר מוטל בגין התיק הנוסף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יוטל על הנאשם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לתיק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שנשמעו טענות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הכללים לכיבוד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לנכון לכבד את ההסדר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התיק הנוסף צורף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 הצדדים התייחסו לענישה בגינו ובגין התיק הנוכחי בנפרד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הסכמה כי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מתוך המאסר המוטל מתוך התיק המצורף ירוצו בחופף לעונש המוטל בתיק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לאור הסדר הטיעון בתיק המצורף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והענישה הראויה בתיק העיקרי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גוזר על הנאשם את העונשים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lang w:eastAsia="he-IL"/>
        </w:rPr>
      </w:pP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בגין 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48978-07-21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hyperlink r:id="rId47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5832-06-19</w:t>
        </w:r>
      </w:hyperlink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6.9.17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 xml:space="preserve">.-       </w:t>
      </w:r>
      <w:r>
        <w:rPr>
          <w:lang w:eastAsia="he-IL"/>
        </w:rPr>
        <w:t>63616-11-16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באשקלון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5832-06-19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ומחציתו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סך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הכל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ירצה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בפועל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בגין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התיק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המצורף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hyperlink r:id="rId49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5832-06-19</w:t>
        </w:r>
      </w:hyperlink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והפעלת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המאסרים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המותנים</w:t>
      </w:r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למשך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30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חודשים</w:t>
      </w:r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בניכוי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ימי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המעצר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בגין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hyperlink r:id="rId50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5832-06-19</w:t>
        </w:r>
      </w:hyperlink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פי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רישומי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ס</w:t>
      </w:r>
      <w:r>
        <w:rPr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lang w:eastAsia="he-IL"/>
        </w:rPr>
      </w:pP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5832-06-19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48978-07-21</w:t>
        </w:r>
      </w:hyperlink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לאור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האמור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לעיל</w:t>
      </w:r>
      <w:r>
        <w:rPr>
          <w:b/>
          <w:bCs/>
          <w:u w:val="single"/>
          <w:rtl w:val="true"/>
          <w:lang w:eastAsia="he-IL"/>
        </w:rPr>
        <w:t xml:space="preserve">,  </w:t>
      </w:r>
      <w:r>
        <w:rPr>
          <w:b/>
          <w:b/>
          <w:bCs/>
          <w:u w:val="single"/>
          <w:rtl w:val="true"/>
          <w:lang w:eastAsia="he-IL"/>
        </w:rPr>
        <w:t>הנאשם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ירצה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כולל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בגין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48978-07-21</w:t>
        </w:r>
      </w:hyperlink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והתיק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המצורף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hyperlink r:id="rId5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5832-06-19</w:t>
        </w:r>
      </w:hyperlink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והפעלת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המאסרים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המותנים</w:t>
      </w:r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למשך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56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חודשים</w:t>
      </w:r>
      <w:r>
        <w:rPr>
          <w:b/>
          <w:bCs/>
          <w:u w:val="single"/>
          <w:rtl w:val="true"/>
          <w:lang w:eastAsia="he-IL"/>
        </w:rPr>
        <w:t xml:space="preserve">, </w:t>
      </w:r>
      <w:r>
        <w:rPr>
          <w:b/>
          <w:b/>
          <w:bCs/>
          <w:u w:val="single"/>
          <w:rtl w:val="true"/>
          <w:lang w:eastAsia="he-IL"/>
        </w:rPr>
        <w:t>בניכוי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ימי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מעצרו</w:t>
      </w:r>
      <w:r>
        <w:rPr>
          <w:b/>
          <w:bCs/>
          <w:u w:val="single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.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hyperlink r:id="rId55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5832-06-19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85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קנס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>.</w:t>
      </w:r>
      <w:r>
        <w:rPr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הפעלת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התחייבות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6.9.17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 xml:space="preserve">.-       </w:t>
      </w:r>
      <w:r>
        <w:rPr>
          <w:lang w:eastAsia="he-IL"/>
        </w:rPr>
        <w:t>63616-11-16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ביהמ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באשקלון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בהתחייבות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85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85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התחייבות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ייאסר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85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5129371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48978-07-21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פלג בוהדנה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  <w:rPr>
        <w:b w:val="false"/>
        <w:bCs w:val="false"/>
        <w:rFonts w:ascii="David" w:hAnsi="David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David" w:hAnsi="David"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5750263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9.a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29.a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29.a" TargetMode="External"/><Relationship Id="rId19" Type="http://schemas.openxmlformats.org/officeDocument/2006/relationships/hyperlink" Target="http://www.nevo.co.il/law/70301/186.a" TargetMode="External"/><Relationship Id="rId20" Type="http://schemas.openxmlformats.org/officeDocument/2006/relationships/hyperlink" Target="http://www.nevo.co.il/case/4336640" TargetMode="External"/><Relationship Id="rId21" Type="http://schemas.openxmlformats.org/officeDocument/2006/relationships/hyperlink" Target="http://www.nevo.co.il/case/21695227" TargetMode="External"/><Relationship Id="rId22" Type="http://schemas.openxmlformats.org/officeDocument/2006/relationships/hyperlink" Target="http://www.nevo.co.il/case/21695227" TargetMode="External"/><Relationship Id="rId23" Type="http://schemas.openxmlformats.org/officeDocument/2006/relationships/hyperlink" Target="http://www.nevo.co.il/case/21695227" TargetMode="External"/><Relationship Id="rId24" Type="http://schemas.openxmlformats.org/officeDocument/2006/relationships/hyperlink" Target="http://www.nevo.co.il/case/27805817" TargetMode="External"/><Relationship Id="rId25" Type="http://schemas.openxmlformats.org/officeDocument/2006/relationships/hyperlink" Target="http://www.nevo.co.il/case/5569233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8513828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7499246" TargetMode="External"/><Relationship Id="rId31" Type="http://schemas.openxmlformats.org/officeDocument/2006/relationships/hyperlink" Target="http://www.nevo.co.il/case/5601503" TargetMode="External"/><Relationship Id="rId32" Type="http://schemas.openxmlformats.org/officeDocument/2006/relationships/hyperlink" Target="http://www.nevo.co.il/case/5762686" TargetMode="External"/><Relationship Id="rId33" Type="http://schemas.openxmlformats.org/officeDocument/2006/relationships/hyperlink" Target="http://www.nevo.co.il/case/6473037" TargetMode="External"/><Relationship Id="rId34" Type="http://schemas.openxmlformats.org/officeDocument/2006/relationships/hyperlink" Target="http://www.nevo.co.il/case/6473037" TargetMode="External"/><Relationship Id="rId35" Type="http://schemas.openxmlformats.org/officeDocument/2006/relationships/hyperlink" Target="http://www.nevo.co.il/case/27873558" TargetMode="External"/><Relationship Id="rId36" Type="http://schemas.openxmlformats.org/officeDocument/2006/relationships/hyperlink" Target="http://www.nevo.co.il/case/25612982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1474168" TargetMode="External"/><Relationship Id="rId40" Type="http://schemas.openxmlformats.org/officeDocument/2006/relationships/hyperlink" Target="http://www.nevo.co.il/case/13093744" TargetMode="External"/><Relationship Id="rId41" Type="http://schemas.openxmlformats.org/officeDocument/2006/relationships/hyperlink" Target="http://www.nevo.co.il/case/6949290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878682" TargetMode="External"/><Relationship Id="rId45" Type="http://schemas.openxmlformats.org/officeDocument/2006/relationships/hyperlink" Target="http://www.nevo.co.il/case/5950172" TargetMode="External"/><Relationship Id="rId46" Type="http://schemas.openxmlformats.org/officeDocument/2006/relationships/hyperlink" Target="http://www.nevo.co.il/case/27805817" TargetMode="External"/><Relationship Id="rId47" Type="http://schemas.openxmlformats.org/officeDocument/2006/relationships/hyperlink" Target="http://www.nevo.co.il/case/25750263" TargetMode="External"/><Relationship Id="rId48" Type="http://schemas.openxmlformats.org/officeDocument/2006/relationships/hyperlink" Target="http://www.nevo.co.il/case/25750263" TargetMode="External"/><Relationship Id="rId49" Type="http://schemas.openxmlformats.org/officeDocument/2006/relationships/hyperlink" Target="http://www.nevo.co.il/case/25750263" TargetMode="External"/><Relationship Id="rId50" Type="http://schemas.openxmlformats.org/officeDocument/2006/relationships/hyperlink" Target="http://www.nevo.co.il/case/25750263" TargetMode="External"/><Relationship Id="rId51" Type="http://schemas.openxmlformats.org/officeDocument/2006/relationships/hyperlink" Target="http://www.nevo.co.il/case/25750263" TargetMode="External"/><Relationship Id="rId52" Type="http://schemas.openxmlformats.org/officeDocument/2006/relationships/hyperlink" Target="http://www.nevo.co.il/case/27805817" TargetMode="External"/><Relationship Id="rId53" Type="http://schemas.openxmlformats.org/officeDocument/2006/relationships/hyperlink" Target="http://www.nevo.co.il/case/27805817" TargetMode="External"/><Relationship Id="rId54" Type="http://schemas.openxmlformats.org/officeDocument/2006/relationships/hyperlink" Target="http://www.nevo.co.il/case/25750263" TargetMode="External"/><Relationship Id="rId55" Type="http://schemas.openxmlformats.org/officeDocument/2006/relationships/hyperlink" Target="http://www.nevo.co.il/case/25750263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2023-09-28T10:37:00Z</dcterms:created>
  <dc:creator> </dc:creator>
  <dc:description/>
  <cp:keywords/>
  <dc:language>en-IL</dc:language>
  <cp:lastModifiedBy>h1</cp:lastModifiedBy>
  <dcterms:modified xsi:type="dcterms:W3CDTF">2023-09-28T10:37:00Z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פלג בוהדנה;אלכסנדר שאולוב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25750263:8;4336640;21695227:3;27805817:4;5569233;28513828;25824863;27499246;5601503;5762686;6473037:2;27873558;25612982;21474168;13093744;6949290;5878682;5950172</vt:lpwstr>
  </property>
  <property fmtid="{D5CDD505-2E9C-101B-9397-08002B2CF9AE}" pid="9" name="CITY">
    <vt:lpwstr>ב"ש</vt:lpwstr>
  </property>
  <property fmtid="{D5CDD505-2E9C-101B-9397-08002B2CF9AE}" pid="10" name="DATE">
    <vt:lpwstr>20220719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70301/144.b:4;406.b;029.a:3;384;452;186.a</vt:lpwstr>
  </property>
  <property fmtid="{D5CDD505-2E9C-101B-9397-08002B2CF9AE}" pid="15" name="LAWYER">
    <vt:lpwstr>ערן צרויה ;אהוד בן יהודה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48978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390020220719</vt:lpwstr>
  </property>
  <property fmtid="{D5CDD505-2E9C-101B-9397-08002B2CF9AE}" pid="34" name="TYPE_N_DATE">
    <vt:lpwstr>39020220719</vt:lpwstr>
  </property>
  <property fmtid="{D5CDD505-2E9C-101B-9397-08002B2CF9AE}" pid="35" name="VOLUME">
    <vt:lpwstr/>
  </property>
  <property fmtid="{D5CDD505-2E9C-101B-9397-08002B2CF9AE}" pid="36" name="WORDNUMPAGES">
    <vt:lpwstr>14</vt:lpwstr>
  </property>
</Properties>
</file>