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49079-07-16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אהרוני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108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15.3.1995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בעובדות כתב האישום המתוקן מיום </w:t>
      </w:r>
      <w:r>
        <w:rPr>
          <w:rFonts w:cs="David" w:ascii="David" w:hAnsi="David"/>
        </w:rPr>
        <w:t>11.1.17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ראשון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274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  <w:u w:val="single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332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השני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+ </w:t>
      </w:r>
      <w:hyperlink r:id="rId42"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השלישי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44"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340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המתוקן 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אוקטובר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שועאפט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בהתפרעויות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ההתפרעויות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והושלכו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זיקוקים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2.7.2014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בהתפרעויות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מהמשתתפים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שועאפט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שועאפט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274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  <w:u w:val="single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332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אוגוסט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אוקטובר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אבראג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והמתינו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לבואה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בנכס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סיפא </w:t>
      </w:r>
      <w:r>
        <w:rPr>
          <w:rFonts w:cs="David" w:ascii="David" w:hAnsi="David"/>
          <w:rtl w:val="true"/>
        </w:rPr>
        <w:t>+</w:t>
      </w:r>
      <w:r>
        <w:rPr>
          <w:rFonts w:cs="David" w:ascii="David" w:hAnsi="David"/>
          <w:rtl w:val="true"/>
        </w:rPr>
        <w:t xml:space="preserve">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ורה חמישה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52"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340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19.3.2017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אידאולוגי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בתקופת גל פיגועים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המדובר באירוע חד פעמי אלא ברצף של אירועים תוך ביצוע של 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תוכננו מראש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מדובר בעבירות אשר </w:t>
      </w:r>
      <w:r>
        <w:rPr>
          <w:rFonts w:ascii="David" w:hAnsi="David"/>
          <w:rtl w:val="true"/>
        </w:rPr>
        <w:t>הופנו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נציגי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צריך לנוע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הפנה לגזר הדין מיום </w:t>
      </w:r>
      <w:r>
        <w:rPr>
          <w:rFonts w:cs="David" w:ascii="David" w:hAnsi="David"/>
        </w:rPr>
        <w:t>15.3.17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נגזרו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היות והנאשם היה בגיר בעת 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מראש</w:t>
      </w:r>
      <w:r>
        <w:rPr>
          <w:rFonts w:ascii="David" w:hAnsi="David"/>
          <w:rtl w:val="true"/>
        </w:rPr>
        <w:t xml:space="preserve"> אשר בוצע בחבורה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המשתרעים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סוף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cs="David" w:ascii="David" w:hAnsi="David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בנושא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באופן </w:t>
      </w:r>
      <w:r>
        <w:rPr>
          <w:rFonts w:ascii="David" w:hAnsi="David"/>
          <w:rtl w:val="true"/>
        </w:rPr>
        <w:t>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 xml:space="preserve">עוד מדגיש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הירצחו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שועאפט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הושלכו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>תכנן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זה </w:t>
      </w:r>
      <w:r>
        <w:rPr>
          <w:rFonts w:ascii="David" w:hAnsi="David"/>
          <w:rtl w:val="true"/>
        </w:rPr>
        <w:t>שאמר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23869-04-14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דרורי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גפרור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21329-11-14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29338-08-14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בנתיב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אילן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אוטובוס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15316-12-14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דרורי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אישומים של </w:t>
      </w:r>
      <w:r>
        <w:rPr>
          <w:rFonts w:ascii="David" w:hAnsi="David"/>
          <w:rtl w:val="true"/>
        </w:rPr>
        <w:t>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במסגרת הסדר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חרף העובדה שהנאשם לא הביע חרטה ואמר כי יחזור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דובר על הסתננות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השתתפות בהתפרעות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 אבנים ובקבוקי תבערה במועדים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8684-06-16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דובר על שני צעירים אשר יצרו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גרמו לשריפות והוטל עליהם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(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52595-06-15</w:t>
        </w:r>
      </w:hyperlink>
      <w:r>
        <w:rPr>
          <w:rFonts w:cs="David" w:ascii="David" w:hAnsi="David"/>
          <w:rtl w:val="true"/>
        </w:rPr>
        <w:t xml:space="preserve">, 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13864-11-15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208-11-15</w:t>
      </w:r>
      <w:r>
        <w:rPr>
          <w:rFonts w:cs="David" w:ascii="David" w:hAnsi="David"/>
          <w:rtl w:val="true"/>
        </w:rPr>
        <w:t xml:space="preserve">, 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18280-06-15</w:t>
        </w:r>
      </w:hyperlink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המשליכה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העובדה שמדובר באירועים 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והנאשם לא יזם את רכישת הנשק ולא 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וסוערת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בקיץ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הירצחו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צויין כי אביו של הנאשם חולה בסרטן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סוף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>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זו הפעם הראשונה שעושה דברים אלה והפעם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רוצה לחזור לביתי ולעבודתי ולפרנס את 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רוצה 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מצטער על מה שעשיתי</w:t>
      </w:r>
      <w:r>
        <w:rPr>
          <w:rFonts w:cs="David" w:ascii="David" w:hAnsi="David"/>
          <w:rtl w:val="true"/>
        </w:rPr>
        <w:t xml:space="preserve">".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המבחן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15.3.2017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בשועאפט</w:t>
      </w:r>
      <w:r>
        <w:rPr>
          <w:rFonts w:ascii="David" w:hAnsi="David"/>
          <w:rtl w:val="true"/>
        </w:rPr>
        <w:t xml:space="preserve"> כאשר תיאר עצמו כתלמיד בעל ציונים מעל לממוצע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שופרסל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במודיעין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לשיווק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מלאכי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להפגנות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להפגנות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תסכולו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וכעסו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הבעייתיות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אימפולסיבי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והכרע</w:t>
      </w:r>
      <w:r>
        <w:rPr>
          <w:rFonts w:ascii="David" w:hAnsi="David"/>
          <w:u w:val="single"/>
          <w:rtl w:val="true"/>
        </w:rPr>
        <w:t>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מתן גזר הדין הינו בהתאם למתווה שנקבע בתיקון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לפי 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סימן א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המבטא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יחס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>" [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המבוסס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: 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העברה</w:t>
      </w:r>
      <w:r>
        <w:rPr>
          <w:rFonts w:cs="David" w:ascii="David" w:hAnsi="David"/>
          <w:rtl w:val="true"/>
        </w:rPr>
        <w:t>; 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cs="David" w:ascii="David" w:hAnsi="David"/>
          <w:rtl w:val="true"/>
        </w:rPr>
        <w:t>; 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>; 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>כשמדובר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שהתפתח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1127/13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גברזגיי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15.1.2014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4702/15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20.4.2016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תרחיש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תרחיש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המהווים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יתקיימו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זמנים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חלק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מאותה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תוכנית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עבריינית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בעבירות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מושא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הראשון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והשני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המעיט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ממשמעותה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9-8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16.9.2014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1777/11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2.6.2011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השלכת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לגרום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לתוצאות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להביא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לתאונה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שסופה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cs="David" w:ascii="David" w:hAnsi="David"/>
          <w:rtl w:val="true"/>
        </w:rPr>
        <w:t>" (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255/88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מג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575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577-576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1988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</w:t>
      </w:r>
      <w:r>
        <w:rPr>
          <w:rFonts w:ascii="David" w:hAnsi="David"/>
          <w:rtl w:val="true"/>
        </w:rPr>
        <w:t>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 ב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פורסם במאגרים ביום </w:t>
      </w:r>
      <w:r>
        <w:rPr>
          <w:rFonts w:cs="David" w:ascii="David" w:hAnsi="David"/>
        </w:rPr>
        <w:t>6.7.06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בקבוקי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תוצאותיו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בקבוק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קשות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אפוא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ייצא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בכגון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תהא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השוו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5984/09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עוודאללה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1.9.2009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הדגיש את חשיבותה של ענישה מרתיעה במקרים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זה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1163/07</w:t>
        </w:r>
      </w:hyperlink>
      <w:r>
        <w:rPr>
          <w:rFonts w:cs="David" w:ascii="David" w:hAnsi="David"/>
          <w:rtl w:val="true"/>
        </w:rPr>
        <w:t xml:space="preserve"> : </w:t>
      </w:r>
    </w:p>
    <w:p>
      <w:pPr>
        <w:pStyle w:val="Normal"/>
        <w:spacing w:lineRule="auto" w:line="360" w:before="0" w:after="120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כבר ציינתי זה מכבר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להעביר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משמעי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ונוקב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שחוזרים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ונשנים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מסתיימים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שמבוצעים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רקע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אידיאולוגי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לאומני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נדחים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שיקולים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ההרתעה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9201/06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6.3.2007</w:t>
      </w:r>
      <w:r>
        <w:rPr>
          <w:rFonts w:cs="David" w:ascii="David" w:hAnsi="David"/>
          <w:b/>
          <w:bCs/>
          <w:rtl w:val="true"/>
        </w:rPr>
        <w:t>)).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מוצא אני לנכון להזכיר גם את האמור ב</w:t>
      </w:r>
      <w:hyperlink r:id="rId7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7517/15</w:t>
        </w:r>
      </w:hyperlink>
      <w:r>
        <w:rPr>
          <w:rFonts w:cs="Arial" w:ascii="Arial" w:hAnsi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מדינת ישראל נ</w:t>
      </w:r>
      <w:r>
        <w:rPr>
          <w:rFonts w:cs="Arial" w:ascii="Arial" w:hAnsi="Arial"/>
          <w:b/>
          <w:bCs/>
          <w:color w:val="333333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333333"/>
          <w:rtl w:val="true"/>
        </w:rPr>
        <w:t>מוחמד עביד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09.03.20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למותר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סכנת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פשוטו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כמשמעו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שכמותם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מדאיגה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להעניש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לשירוש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אידיאולוגי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לאומני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גזעני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עודנו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מדברים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שעתידם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תקיפה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לסתום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והתחשבות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אישיות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לעניין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נגאר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31.7.2016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42201-08-11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3.6.2012</w:t>
      </w:r>
      <w:r>
        <w:rPr>
          <w:rFonts w:cs="David" w:ascii="David" w:hAnsi="David"/>
          <w:rtl w:val="true"/>
        </w:rPr>
        <w:t xml:space="preserve">]),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5402/12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]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18.2.2013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והפחית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הפחתת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הירצחו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הספונטניות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המוקדם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מקבל את הטענה כי לא היה תכנון מוקדם לביצוע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הסיבות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הירצחו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אין בידי לקבל את הטענה כי הנאשם אינו המתכנן של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לטענה לזאת אין בסיס בכתב האישום 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הצביע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על כל ראיה אחרת בתמיכה לטענתו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יש בה להפחית מחומרת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ייזקף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יפים לעניין זה שנקבע ב</w:t>
      </w:r>
      <w:hyperlink r:id="rId8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255/88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מג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567" w:end="709"/>
        <w:contextualSpacing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למען ישמעו המערער 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ובראש ובראשונה עבריינים בכוח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יזידון עוד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הטענה שלא נגרם נזק בטלה היא ומשוללת כל יסוד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רק נס ומזל מפרידים בין זריקת אבנים שאין אחריה תוצאה של גרימת נזק לבין זריקת אבנים העלולה להביא לקטילת 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במיוחד בהביאנו בחשבון שמדובר בזריקת אבנים על כלי רכב תוך כדי נסיעתם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בעבירות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מושא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השלישי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היישוב</w:t>
      </w:r>
      <w:r>
        <w:rPr>
          <w:rFonts w:ascii="David" w:hAnsi="David"/>
          <w:rtl w:val="true"/>
        </w:rPr>
        <w:t xml:space="preserve"> ושיבוש מהלך החיים התקין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עבירה זו עוללה להביא ל</w:t>
      </w:r>
      <w:r>
        <w:rPr>
          <w:rFonts w:ascii="David" w:hAnsi="David"/>
          <w:rtl w:val="true"/>
        </w:rPr>
        <w:t>אובדן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>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מדיניות הענישה הנוהגת לעניין האישום השלישי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13401-03-12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7.6.2012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13179-07-14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5.5.2015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25.10.2010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סטודנט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גורם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מובהק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הדגישה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מבצעיהן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עלולים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במחיר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כליאתם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מאחורי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ובריח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ברוח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פסק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המחוזי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מצאנו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המצדיקה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התערבותנו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מבחינת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הספונטניות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המרוחק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לומר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המרוחק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מהחמורים ביותר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לעניין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בפרק זמן של מספר חודשים ספורים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זאת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מעצרו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עצור מיום </w:t>
      </w:r>
      <w:r>
        <w:rPr>
          <w:rFonts w:cs="David" w:ascii="David" w:hAnsi="David"/>
          <w:sz w:val="24"/>
          <w:szCs w:val="24"/>
        </w:rPr>
        <w:t>27.6.16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4,000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שישולם בתוך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 מהיום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ascii="David" w:hAnsi="David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יעבור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בתקופה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בתיק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94"/>
      <w:footerReference w:type="default" r:id="rId9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49079-07-16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חדיר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74.1." TargetMode="External"/><Relationship Id="rId11" Type="http://schemas.openxmlformats.org/officeDocument/2006/relationships/hyperlink" Target="http://www.nevo.co.il/law/70301/274.2." TargetMode="External"/><Relationship Id="rId12" Type="http://schemas.openxmlformats.org/officeDocument/2006/relationships/hyperlink" Target="http://www.nevo.co.il/law/70301/274.3" TargetMode="External"/><Relationship Id="rId13" Type="http://schemas.openxmlformats.org/officeDocument/2006/relationships/hyperlink" Target="http://www.nevo.co.il/law/70301/332a.a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48" TargetMode="External"/><Relationship Id="rId19" Type="http://schemas.openxmlformats.org/officeDocument/2006/relationships/hyperlink" Target="http://www.nevo.co.il/law/70301/a1S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/40i.a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74.1." TargetMode="External"/><Relationship Id="rId29" Type="http://schemas.openxmlformats.org/officeDocument/2006/relationships/hyperlink" Target="http://www.nevo.co.il/law/70301/274.2." TargetMode="External"/><Relationship Id="rId30" Type="http://schemas.openxmlformats.org/officeDocument/2006/relationships/hyperlink" Target="http://www.nevo.co.il/law/70301/274.3" TargetMode="External"/><Relationship Id="rId31" Type="http://schemas.openxmlformats.org/officeDocument/2006/relationships/hyperlink" Target="http://www.nevo.co.il/law/70301/332a.a" TargetMode="External"/><Relationship Id="rId32" Type="http://schemas.openxmlformats.org/officeDocument/2006/relationships/hyperlink" Target="http://www.nevo.co.il/law/70301/340a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law/70301/40jc.b" TargetMode="External"/><Relationship Id="rId36" Type="http://schemas.openxmlformats.org/officeDocument/2006/relationships/hyperlink" Target="http://www.nevo.co.il/law/70301/448" TargetMode="External"/><Relationship Id="rId37" Type="http://schemas.openxmlformats.org/officeDocument/2006/relationships/hyperlink" Target="http://www.nevo.co.il/law/70301/a1S" TargetMode="External"/><Relationship Id="rId38" Type="http://schemas.openxmlformats.org/officeDocument/2006/relationships/hyperlink" Target="http://www.nevo.co.il/law/70301/274.1.;274.2.;274.3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32a.a" TargetMode="External"/><Relationship Id="rId41" Type="http://schemas.openxmlformats.org/officeDocument/2006/relationships/hyperlink" Target="http://www.nevo.co.il/law/70301/448" TargetMode="External"/><Relationship Id="rId42" Type="http://schemas.openxmlformats.org/officeDocument/2006/relationships/hyperlink" Target="http://www.nevo.co.il/law/70301/25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/340a" TargetMode="External"/><Relationship Id="rId47" Type="http://schemas.openxmlformats.org/officeDocument/2006/relationships/hyperlink" Target="http://www.nevo.co.il/law/70301/274.1.;274.2.;274.3" TargetMode="External"/><Relationship Id="rId48" Type="http://schemas.openxmlformats.org/officeDocument/2006/relationships/hyperlink" Target="http://www.nevo.co.il/law/70301/332a.a" TargetMode="External"/><Relationship Id="rId49" Type="http://schemas.openxmlformats.org/officeDocument/2006/relationships/hyperlink" Target="http://www.nevo.co.il/law/70301/448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/29" TargetMode="External"/><Relationship Id="rId54" Type="http://schemas.openxmlformats.org/officeDocument/2006/relationships/hyperlink" Target="http://www.nevo.co.il/law/70301/340a" TargetMode="External"/><Relationship Id="rId55" Type="http://schemas.openxmlformats.org/officeDocument/2006/relationships/hyperlink" Target="http://www.nevo.co.il/case/16876692" TargetMode="External"/><Relationship Id="rId56" Type="http://schemas.openxmlformats.org/officeDocument/2006/relationships/hyperlink" Target="http://www.nevo.co.il/case/18145858" TargetMode="External"/><Relationship Id="rId57" Type="http://schemas.openxmlformats.org/officeDocument/2006/relationships/hyperlink" Target="http://www.nevo.co.il/case/17976789" TargetMode="External"/><Relationship Id="rId58" Type="http://schemas.openxmlformats.org/officeDocument/2006/relationships/hyperlink" Target="http://www.nevo.co.il/case/18716004" TargetMode="External"/><Relationship Id="rId59" Type="http://schemas.openxmlformats.org/officeDocument/2006/relationships/hyperlink" Target="http://www.nevo.co.il/case/20599464" TargetMode="External"/><Relationship Id="rId60" Type="http://schemas.openxmlformats.org/officeDocument/2006/relationships/hyperlink" Target="http://www.nevo.co.il/case/21904972" TargetMode="External"/><Relationship Id="rId61" Type="http://schemas.openxmlformats.org/officeDocument/2006/relationships/hyperlink" Target="http://www.nevo.co.il/case/20390274" TargetMode="External"/><Relationship Id="rId62" Type="http://schemas.openxmlformats.org/officeDocument/2006/relationships/hyperlink" Target="http://www.nevo.co.il/case/20707172" TargetMode="External"/><Relationship Id="rId63" Type="http://schemas.openxmlformats.org/officeDocument/2006/relationships/hyperlink" Target="http://www.nevo.co.il/case/20342279" TargetMode="External"/><Relationship Id="rId64" Type="http://schemas.openxmlformats.org/officeDocument/2006/relationships/hyperlink" Target="http://www.nevo.co.il/law/70301/a1S" TargetMode="External"/><Relationship Id="rId65" Type="http://schemas.openxmlformats.org/officeDocument/2006/relationships/hyperlink" Target="http://www.nevo.co.il/law/70301/40b" TargetMode="External"/><Relationship Id="rId66" Type="http://schemas.openxmlformats.org/officeDocument/2006/relationships/hyperlink" Target="http://www.nevo.co.il/law/70301/40c" TargetMode="External"/><Relationship Id="rId67" Type="http://schemas.openxmlformats.org/officeDocument/2006/relationships/hyperlink" Target="http://www.nevo.co.il/law/70301/40jc" TargetMode="External"/><Relationship Id="rId68" Type="http://schemas.openxmlformats.org/officeDocument/2006/relationships/hyperlink" Target="http://www.nevo.co.il/case/13093721" TargetMode="External"/><Relationship Id="rId69" Type="http://schemas.openxmlformats.org/officeDocument/2006/relationships/hyperlink" Target="http://www.nevo.co.il/case/6018516" TargetMode="External"/><Relationship Id="rId70" Type="http://schemas.openxmlformats.org/officeDocument/2006/relationships/hyperlink" Target="http://www.nevo.co.il/case/20420489" TargetMode="External"/><Relationship Id="rId71" Type="http://schemas.openxmlformats.org/officeDocument/2006/relationships/hyperlink" Target="http://www.nevo.co.il/case/17954529" TargetMode="External"/><Relationship Id="rId72" Type="http://schemas.openxmlformats.org/officeDocument/2006/relationships/hyperlink" Target="http://www.nevo.co.il/case/6243793" TargetMode="External"/><Relationship Id="rId73" Type="http://schemas.openxmlformats.org/officeDocument/2006/relationships/hyperlink" Target="http://www.nevo.co.il/case/17954529" TargetMode="External"/><Relationship Id="rId74" Type="http://schemas.openxmlformats.org/officeDocument/2006/relationships/hyperlink" Target="http://www.nevo.co.il/case/17946319" TargetMode="External"/><Relationship Id="rId75" Type="http://schemas.openxmlformats.org/officeDocument/2006/relationships/hyperlink" Target="http://www.nevo.co.il/case/6188919" TargetMode="External"/><Relationship Id="rId76" Type="http://schemas.openxmlformats.org/officeDocument/2006/relationships/hyperlink" Target="http://www.nevo.co.il/case/6043347" TargetMode="External"/><Relationship Id="rId77" Type="http://schemas.openxmlformats.org/officeDocument/2006/relationships/hyperlink" Target="http://www.nevo.co.il/case/5750760" TargetMode="External"/><Relationship Id="rId78" Type="http://schemas.openxmlformats.org/officeDocument/2006/relationships/hyperlink" Target="http://www.nevo.co.il/case/6239953" TargetMode="External"/><Relationship Id="rId79" Type="http://schemas.openxmlformats.org/officeDocument/2006/relationships/hyperlink" Target="http://www.nevo.co.il/case/20888243" TargetMode="External"/><Relationship Id="rId80" Type="http://schemas.openxmlformats.org/officeDocument/2006/relationships/hyperlink" Target="http://www.nevo.co.il/case/21474812" TargetMode="External"/><Relationship Id="rId81" Type="http://schemas.openxmlformats.org/officeDocument/2006/relationships/hyperlink" Target="http://www.nevo.co.il/case/5500621" TargetMode="External"/><Relationship Id="rId82" Type="http://schemas.openxmlformats.org/officeDocument/2006/relationships/hyperlink" Target="http://www.nevo.co.il/case/5590171" TargetMode="External"/><Relationship Id="rId83" Type="http://schemas.openxmlformats.org/officeDocument/2006/relationships/hyperlink" Target="http://www.nevo.co.il/law/70301/40i.a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case/17946319" TargetMode="External"/><Relationship Id="rId86" Type="http://schemas.openxmlformats.org/officeDocument/2006/relationships/hyperlink" Target="http://www.nevo.co.il/case/4303167" TargetMode="External"/><Relationship Id="rId87" Type="http://schemas.openxmlformats.org/officeDocument/2006/relationships/hyperlink" Target="http://www.nevo.co.il/case/17032356" TargetMode="External"/><Relationship Id="rId88" Type="http://schemas.openxmlformats.org/officeDocument/2006/relationships/hyperlink" Target="http://www.nevo.co.il/case/5950172" TargetMode="External"/><Relationship Id="rId89" Type="http://schemas.openxmlformats.org/officeDocument/2006/relationships/hyperlink" Target="http://www.nevo.co.il/law/70301/40i.a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40ja" TargetMode="External"/><Relationship Id="rId92" Type="http://schemas.openxmlformats.org/officeDocument/2006/relationships/hyperlink" Target="http://www.nevo.co.il/law/70301/40jc.b" TargetMode="External"/><Relationship Id="rId93" Type="http://schemas.openxmlformats.org/officeDocument/2006/relationships/hyperlink" Target="http://www.nevo.co.il/advertisements/nevo-100.doc" TargetMode="External"/><Relationship Id="rId94" Type="http://schemas.openxmlformats.org/officeDocument/2006/relationships/header" Target="header1.xml"/><Relationship Id="rId95" Type="http://schemas.openxmlformats.org/officeDocument/2006/relationships/footer" Target="footer1.xml"/><Relationship Id="rId96" Type="http://schemas.openxmlformats.org/officeDocument/2006/relationships/numbering" Target="numbering.xml"/><Relationship Id="rId97" Type="http://schemas.openxmlformats.org/officeDocument/2006/relationships/fontTable" Target="fontTable.xml"/><Relationship Id="rId98" Type="http://schemas.openxmlformats.org/officeDocument/2006/relationships/settings" Target="settings.xml"/><Relationship Id="rId9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2018-02-27T11:34:00Z</dcterms:created>
  <dc:creator> </dc:creator>
  <dc:description/>
  <cp:keywords/>
  <dc:language>en-IL</dc:language>
  <cp:lastModifiedBy>run</cp:lastModifiedBy>
  <dcterms:modified xsi:type="dcterms:W3CDTF">2018-02-27T11:34:00Z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חדיר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16876692;18145858;17976789;18716004;20599464;21904972;20390274;20707172;20342279;13093721;6018516;20420489;17954529:2;6243793;17946319:2;6188919;6043347;5750760;6239953;20888243;21474812;5500621;5590171;4303167;17032356;5950172</vt:lpwstr>
  </property>
  <property fmtid="{D5CDD505-2E9C-101B-9397-08002B2CF9AE}" pid="9" name="CITY">
    <vt:lpwstr>י-ם</vt:lpwstr>
  </property>
  <property fmtid="{D5CDD505-2E9C-101B-9397-08002B2CF9AE}" pid="10" name="DATE">
    <vt:lpwstr>20170427</vt:lpwstr>
  </property>
  <property fmtid="{D5CDD505-2E9C-101B-9397-08002B2CF9AE}" pid="11" name="DELEMATA">
    <vt:lpwstr/>
  </property>
  <property fmtid="{D5CDD505-2E9C-101B-9397-08002B2CF9AE}" pid="12" name="JUDGE">
    <vt:lpwstr>דניאל טפרברג</vt:lpwstr>
  </property>
  <property fmtid="{D5CDD505-2E9C-101B-9397-08002B2CF9AE}" pid="13" name="LAWLISTTMP1">
    <vt:lpwstr>70301/025:2;029:2;040b;040c;040i.a:2;144.a:2;144.b:2;274.1:2;274.2:2;274.3:2;332a.a:2;340a:2;40ja;40jc;40jc.b;448:2;a1S</vt:lpwstr>
  </property>
  <property fmtid="{D5CDD505-2E9C-101B-9397-08002B2CF9AE}" pid="14" name="LAWYER">
    <vt:lpwstr>רחל אהרוני;מחמוד מוחמד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49079</vt:lpwstr>
  </property>
  <property fmtid="{D5CDD505-2E9C-101B-9397-08002B2CF9AE}" pid="21" name="NEWPARTB">
    <vt:lpwstr>07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390020170427</vt:lpwstr>
  </property>
  <property fmtid="{D5CDD505-2E9C-101B-9397-08002B2CF9AE}" pid="33" name="TYPE_N_DATE">
    <vt:lpwstr>39020170427</vt:lpwstr>
  </property>
  <property fmtid="{D5CDD505-2E9C-101B-9397-08002B2CF9AE}" pid="34" name="VOLUME">
    <vt:lpwstr/>
  </property>
  <property fmtid="{D5CDD505-2E9C-101B-9397-08002B2CF9AE}" pid="35" name="WORDNUMPAGES">
    <vt:lpwstr>10</vt:lpwstr>
  </property>
</Properties>
</file>