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49093-07-15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אמחארב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שמואלי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מאהר אבו אמחארב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חאתם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נעאמנה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/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  <w:t>-</w:t>
      </w:r>
      <w:hyperlink r:id="rId8">
        <w:r>
          <w:rPr>
            <w:rStyle w:val="Hyperlink"/>
            <w:rFonts w:ascii="Calibri" w:hAnsi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sz w:val="28"/>
            <w:szCs w:val="28"/>
            <w:u w:val="single"/>
          </w:rPr>
          <w:t>49093-07-15</w:t>
        </w:r>
      </w:hyperlink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hyperlink r:id="rId9">
        <w:r>
          <w:rPr>
            <w:rFonts w:cs="Calibri" w:ascii="Calibri" w:hAnsi="Calibri"/>
          </w:rPr>
          <w:t>1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לישראל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1952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הכניסה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לישראל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20.7.2015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במיניבוס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bidi w:val="0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ת</w:t>
      </w: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פ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8"/>
          <w:szCs w:val="28"/>
          <w:u w:val="single"/>
        </w:rPr>
        <w:t>5568-01-06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5568-01-16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מסיעי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שדרות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מרצדס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מסחרית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והנושאת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419931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הלוחית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wdb9066571s969483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השלדה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המקורית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צבירה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bidi w:val="0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9.6.2015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9.6.2015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שנזכרו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תוקנים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הנאשם בעבירות </w:t>
      </w:r>
      <w:r>
        <w:rPr>
          <w:rFonts w:ascii="Calibri" w:hAnsi="Calibri" w:cs="Calibri"/>
          <w:rtl w:val="true"/>
        </w:rPr>
        <w:t>תעבור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שכולל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לבעליו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>ומ</w:t>
      </w:r>
      <w:r>
        <w:rPr>
          <w:rFonts w:ascii="Calibri" w:hAnsi="Calibri" w:cs="Calibri"/>
          <w:rtl w:val="true"/>
        </w:rPr>
        <w:t>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שני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נפרדים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שמופיעים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ונפרדים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מתחמי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כדין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בנסיבות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מחמירות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2789/13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](</w:t>
      </w:r>
      <w:r>
        <w:rPr>
          <w:rFonts w:cs="Calibri" w:ascii="Calibri" w:hAnsi="Calibri"/>
        </w:rPr>
        <w:t>4.8.2013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מהתיקים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7726/13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נסא</w:t>
      </w:r>
      <w:r>
        <w:rPr>
          <w:rFonts w:ascii="Calibri" w:hAnsi="Calibri" w:cs="Calibri"/>
          <w:b/>
          <w:b/>
          <w:bCs/>
          <w:rtl w:val="true"/>
        </w:rPr>
        <w:t>ס</w:t>
      </w:r>
      <w:r>
        <w:rPr>
          <w:rFonts w:ascii="Calibri" w:hAnsi="Calibri" w:cs="Calibri"/>
          <w:b/>
          <w:b/>
          <w:bCs/>
          <w:rtl w:val="true"/>
        </w:rPr>
        <w:t>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8.1.2014</w:t>
      </w:r>
      <w:r>
        <w:rPr>
          <w:rFonts w:cs="Calibri" w:ascii="Calibri" w:hAnsi="Calibri"/>
          <w:rtl w:val="true"/>
        </w:rPr>
        <w:t xml:space="preserve">);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617/15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מונתסר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2.4.2015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זיוף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סימני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זיהוי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וקבלת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רכב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גנוב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2097/14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ascii="Calibri" w:hAnsi="Calibri" w:cs="Calibri"/>
          <w:b/>
          <w:b/>
          <w:bCs/>
          <w:rtl w:val="true"/>
        </w:rPr>
        <w:t>ויכאת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20.3.2014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</w:t>
      </w:r>
      <w:r>
        <w:rPr>
          <w:rFonts w:ascii="Calibri" w:hAnsi="Calibri" w:cs="Calibri"/>
          <w:rtl w:val="true"/>
        </w:rPr>
        <w:t>רכב ה</w:t>
      </w:r>
      <w:r>
        <w:rPr>
          <w:rFonts w:ascii="Calibri" w:hAnsi="Calibri" w:cs="Calibri"/>
          <w:rtl w:val="true"/>
        </w:rPr>
        <w:t>תהפך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וללא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פלילי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cs="Calibri" w:ascii="Calibri" w:hAnsi="Calibri"/>
          <w:u w:val="single"/>
        </w:rPr>
        <w:t>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6976/16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טוויל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12.9.2016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טשטש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זמ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הכולל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והסופי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הסתפקות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דרך המלך היא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שפרנסתם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 ש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bidi w:val="0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לישראל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26"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.3.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>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אחד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התיקים</w:t>
      </w:r>
      <w:r>
        <w:rPr>
          <w:rFonts w:ascii="Calibri" w:hAnsi="Calibri" w:cs="Calibri"/>
          <w:rtl w:val="true"/>
        </w:rPr>
        <w:t xml:space="preserve"> מושא גזר הדין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יקוזז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מההפקדה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שתיוותר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מהתיקים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49093-07-15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מאהר אבו אמחארב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David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lang w:val="en-US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bidi w:val="0"/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.c.1a.b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13h" TargetMode="External"/><Relationship Id="rId6" Type="http://schemas.openxmlformats.org/officeDocument/2006/relationships/hyperlink" Target="http://www.nevo.co.il/law/70301/413i" TargetMode="External"/><Relationship Id="rId7" Type="http://schemas.openxmlformats.org/officeDocument/2006/relationships/hyperlink" Target="http://www.nevo.co.il/law/70301/413j" TargetMode="External"/><Relationship Id="rId8" Type="http://schemas.openxmlformats.org/officeDocument/2006/relationships/hyperlink" Target="http://www.nevo.co.il/case/20461224" TargetMode="External"/><Relationship Id="rId9" Type="http://schemas.openxmlformats.org/officeDocument/2006/relationships/hyperlink" Target="http://www.nevo.co.il/case/20461224" TargetMode="External"/><Relationship Id="rId10" Type="http://schemas.openxmlformats.org/officeDocument/2006/relationships/hyperlink" Target="http://www.nevo.co.il/law/90721/12a.c.1a.b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70301/413i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13j" TargetMode="External"/><Relationship Id="rId15" Type="http://schemas.openxmlformats.org/officeDocument/2006/relationships/hyperlink" Target="http://www.nevo.co.il/case/6895500" TargetMode="External"/><Relationship Id="rId16" Type="http://schemas.openxmlformats.org/officeDocument/2006/relationships/hyperlink" Target="http://www.nevo.co.il/case/10475777" TargetMode="External"/><Relationship Id="rId17" Type="http://schemas.openxmlformats.org/officeDocument/2006/relationships/hyperlink" Target="http://www.nevo.co.il/case/20003034" TargetMode="External"/><Relationship Id="rId18" Type="http://schemas.openxmlformats.org/officeDocument/2006/relationships/hyperlink" Target="http://www.nevo.co.il/case/13063110" TargetMode="External"/><Relationship Id="rId19" Type="http://schemas.openxmlformats.org/officeDocument/2006/relationships/hyperlink" Target="http://www.nevo.co.il/law/70301/413j" TargetMode="External"/><Relationship Id="rId20" Type="http://schemas.openxmlformats.org/officeDocument/2006/relationships/hyperlink" Target="http://www.nevo.co.il/case/21479095" TargetMode="External"/><Relationship Id="rId21" Type="http://schemas.openxmlformats.org/officeDocument/2006/relationships/hyperlink" Target="http://www.nevo.co.il/law/70301/413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13h" TargetMode="External"/><Relationship Id="rId24" Type="http://schemas.openxmlformats.org/officeDocument/2006/relationships/hyperlink" Target="http://www.nevo.co.il/law/90721" TargetMode="External"/><Relationship Id="rId25" Type="http://schemas.openxmlformats.org/officeDocument/2006/relationships/hyperlink" Target="http://www.nevo.co.il/law/70301/413i" TargetMode="External"/><Relationship Id="rId26" Type="http://schemas.openxmlformats.org/officeDocument/2006/relationships/hyperlink" Target="http://www.nevo.co.il/law/70301/413j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2018-10-09T15:51:00Z</dcterms:created>
  <dc:creator> </dc:creator>
  <dc:description/>
  <cp:keywords/>
  <dc:language>en-IL</dc:language>
  <cp:lastModifiedBy>run</cp:lastModifiedBy>
  <dcterms:modified xsi:type="dcterms:W3CDTF">2018-10-09T15:51:00Z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מאהר אבו אמחארב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20461224;10475777;20003034;13063110;21479095</vt:lpwstr>
  </property>
  <property fmtid="{D5CDD505-2E9C-101B-9397-08002B2CF9AE}" pid="9" name="CITY">
    <vt:lpwstr>רמ'</vt:lpwstr>
  </property>
  <property fmtid="{D5CDD505-2E9C-101B-9397-08002B2CF9AE}" pid="10" name="DATE">
    <vt:lpwstr>20180206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90721/012a.c.1a.b</vt:lpwstr>
  </property>
  <property fmtid="{D5CDD505-2E9C-101B-9397-08002B2CF9AE}" pid="15" name="LAWLISTTMP2">
    <vt:lpwstr>70301/413i:3;413j:3;413h</vt:lpwstr>
  </property>
  <property fmtid="{D5CDD505-2E9C-101B-9397-08002B2CF9AE}" pid="16" name="LAWYER">
    <vt:lpwstr>איתי שמואלי;חאתם נעאמנה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49093</vt:lpwstr>
  </property>
  <property fmtid="{D5CDD505-2E9C-101B-9397-08002B2CF9AE}" pid="23" name="NEWPARTB">
    <vt:lpwstr>07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380020180206</vt:lpwstr>
  </property>
  <property fmtid="{D5CDD505-2E9C-101B-9397-08002B2CF9AE}" pid="35" name="TYPE_N_DATE">
    <vt:lpwstr>38020180206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