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4935-05-14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טאטור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13522-06-14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הינדאוי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40303-05-14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טאטור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שיטרית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טאטור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טאטור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איבראהים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טאטור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ניבאל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פרדה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טאטור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חמזה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הינדאווי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56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192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מבוא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איברהים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וניבאל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יוחסו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Fonts w:ascii="David" w:hAnsi="David"/>
          <w:u w:val="single"/>
          <w:rtl w:val="true"/>
        </w:rPr>
        <w:t>באשר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לנאשמים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Fonts w:ascii="David" w:hAnsi="David"/>
          <w:u w:val="single"/>
          <w:rtl w:val="true"/>
        </w:rPr>
        <w:t>באשר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לנאשמת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יוחסו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חמזה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הינדאווי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יוחסו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איחוד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29.12.14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מכפירתם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יטענו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חופשי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וחיובם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פירוט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הטיעון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מכפירתם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המתוקן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העונשין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+ </w:t>
      </w:r>
      <w:hyperlink r:id="rId12"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טאטור</w:t>
      </w:r>
      <w:r>
        <w:rPr>
          <w:rtl w:val="true"/>
        </w:rPr>
        <w:t xml:space="preserve">,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וניבאל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טאטור</w:t>
      </w:r>
      <w:r>
        <w:rPr>
          <w:rtl w:val="true"/>
        </w:rPr>
        <w:t xml:space="preserve">. </w:t>
      </w:r>
      <w:r>
        <w:rPr>
          <w:rtl w:val="true"/>
        </w:rPr>
        <w:t>תסקירים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10.9.15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ובמסגרתה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טאטור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מונחות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עובדות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כתב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המתוקן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bookmarkStart w:id="7" w:name="ABSTRACT_START"/>
      <w:bookmarkEnd w:id="7"/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חאלד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בנצרת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משותף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שהטיח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אימיתאס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הסכסוך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24.4.14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החבורה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ולתקוף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24.4.14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מתגוררת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סאלח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וביחד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המתלוננים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לצעוק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חברי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וראתב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נהדפו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והתוקפים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ועזבו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השמאלית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נחתך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ונזקק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המאשימה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2/7/15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אסמכתאות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הינדאווי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ולחייבם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להוראות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בכבודו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ובביטחונו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מבצרם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ניבאל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נועם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הצטיידו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מעודד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להסלמתו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הצפוי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מצטיידים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תושייתם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נזעקו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והתערבו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המותקף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שחאלד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התנצלות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זעמה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הזעיקה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במניע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נטילת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תושייתם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נזעקו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דופן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מבוגר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מסתיימות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באובדן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מנטילת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לסגור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מלהיכנס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כשהעבריין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מזויין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מסוכסכים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מלהשתתף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7.4.13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467-05-12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בנצרת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לפעול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לעצמו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יתקלו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בתפיסה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המצדיקה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אמפתיה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הקורבנות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להאריך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להעמידו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חורגת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פוגעת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לדחותה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מדרכיו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השכיל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לנצלן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והסגיר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באמתלות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המצדיקות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בדמות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הארכתו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הינדאוי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תוקפנות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ונרתם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כהגדרתה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שידע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מלהיכנס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השורש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איברהים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בכישלונו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ומגלה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אמפטיה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ממזער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הצטיידו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יתקלו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ואוחז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בתפיסה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המצדיקה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אמפטיה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לסיטואציה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קורבנות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ומחויבות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מקימה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ייעודי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איברהים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חורגת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מתיישבת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איברהים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ניבאל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והוציאה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בלעדיה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מתרחש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לדרבן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ביודעה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ובכוונה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ינקטו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ומעשיה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נדבך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עיקרי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להתרחשות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תעוזת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ותקיפתם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האמצעי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ולחייבם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6.1.16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החיוביות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מעמדתה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3.3.16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מצומצמת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ההיכרות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בעדותו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42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425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הנאשמים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u w:val="single"/>
          <w:rtl w:val="true"/>
        </w:rPr>
        <w:t>חמזה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הינדאוי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וניבאל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אבו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פרדה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נאשמים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u w:val="single"/>
        </w:rPr>
        <w:t>6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בכתב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המתוקן</w:t>
      </w:r>
      <w:r>
        <w:rPr>
          <w:rFonts w:cs="David" w:ascii="David" w:hAnsi="David"/>
          <w:b/>
          <w:bCs/>
          <w:u w:val="single"/>
          <w:rtl w:val="true"/>
        </w:rPr>
        <w:t>) 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מהמחלקה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לשירותים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ותיעוד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הינדאוי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1979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בגילאים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רעייתו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ספסל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והקדיש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הינדאוי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4.6.14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16.6.14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כחוויה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הוקלו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הינדאוי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אקראית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מזערי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ניבאל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אומנם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אחראית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להתפתחות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בסביבה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מסורתית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נקלעה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ופוגעני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שהפגין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בנושא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להתפתחות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נפגעה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בטיעוניו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המורכבות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כשבועיים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מקדישה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24.4.15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30.4.15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וניתקו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סולחה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סלחו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מינורית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המהותי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המינורי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הינדאוי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וניבאל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בחתימה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התחייבות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אוחזת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אקטיבית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6.1.16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והמורכבות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הנאשמים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מוחמד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טאטור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עלי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טאטור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איברהים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טאטור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הנאשמים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1-3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בכתב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המתוקן</w:t>
      </w:r>
      <w:r>
        <w:rPr>
          <w:rFonts w:cs="David" w:ascii="David" w:hAnsi="David"/>
          <w:b/>
          <w:bCs/>
          <w:u w:val="single"/>
          <w:rtl w:val="true"/>
        </w:rPr>
        <w:t xml:space="preserve">) </w:t>
      </w:r>
      <w:r>
        <w:rPr>
          <w:rFonts w:ascii="David" w:hAnsi="David"/>
          <w:b/>
          <w:b/>
          <w:bCs/>
          <w:u w:val="single"/>
          <w:rtl w:val="true"/>
        </w:rPr>
        <w:t>ויוסף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טאטור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בכתב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המתוקן</w:t>
      </w:r>
      <w:r>
        <w:rPr>
          <w:rFonts w:cs="David" w:ascii="David" w:hAnsi="David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אסמכתאות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בעדותה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תומכת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בלימודיהם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חינכה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לנקוט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והתנצלו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בעדותה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המהותי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הוקלו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רעייתו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בגילאים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לאנגלית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להעדפת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איברהים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בלימודיו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במכללת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כנרת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בלימודי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ארכיטקטורה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והנדסת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מאורס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לאימוץ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התסקירים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ואיברהים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בבעלותו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תומכים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שילמו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35,000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הסתבכותם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לשרוד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לאימוץ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איברהים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האקדמאיים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כחודשיים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בדבריהם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הבטיחו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6.1.16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להאריך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איברהים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3.3.16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בבעלותו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ליזמות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העוסקת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בפרויקטים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פרויקט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כטפסן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בתדירות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נרקמה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ואופייה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ואחראי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מפרנס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ועבודתו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חקירתו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הנגדית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התאפיינה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בסביבת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נרקמה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נחשף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מסירותו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ותגובותיו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להאריך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תפקודו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שירות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המבחן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בעניינו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איברהים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טאטור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20.4.15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ריינה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כקבלן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הנדסאות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במכללה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הטכנולוגית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כנרת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בטבריה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אקטיביים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דואג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המאופיינת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בכישלונו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ההתנהגותי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ההצקות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הפוגענית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והתפתחה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וכעסו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הדרושים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ומהמחירים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התוקפנית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ותחושותיו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ומהאבחון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ופרודוקטיביים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חינוכי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גמולי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ניבאל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אבו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פרדה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20.4.15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הפורמאלי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ונישאה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התמקדה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ובדאגה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כקבלן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האלומיניום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בהתייחסותה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להשמיע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באוזניה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גסים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הפוגענית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להקניטה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ולהעליבה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מיצתה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הפוגע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למטבח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קוגניטיבית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והתנהלותה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חונכה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חותמם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ובהשלכותיו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מכבידים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שננקטו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בפגישה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התרגשותה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בהשפעתו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ובמלאכת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יוסף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טאטור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19.4.15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הפורמאלי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רעייתו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לאנגלית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במקצועה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ואינסטלציה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רעייתו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רעייתו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7.4.13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הקונפליקט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מנכונותו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ומהתגייסותו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ההצקות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התלהטו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וחילופי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התוקפנית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ואימפולסיביות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מותאמות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מקפיד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באימפולסיביות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ובתוקפנות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המורחבת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והמחויבות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המכשילים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אדפטיבית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 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וההנמקה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וההנמקה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864/12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5.8.13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ומן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הכלל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הפרט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קביעת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</w:t>
      </w:r>
      <w:r>
        <w:rPr>
          <w:rFonts w:ascii="David" w:hAnsi="David"/>
          <w:b/>
          <w:b/>
          <w:bCs/>
          <w:u w:val="single"/>
          <w:rtl w:val="true"/>
        </w:rPr>
        <w:t>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</w:t>
      </w:r>
      <w:r>
        <w:rPr>
          <w:rFonts w:ascii="David" w:hAnsi="David"/>
          <w:b/>
          <w:b/>
          <w:bCs/>
          <w:u w:val="single"/>
          <w:rtl w:val="true"/>
        </w:rPr>
        <w:t>הולם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>-</w:t>
      </w:r>
      <w:r>
        <w:rPr>
          <w:rtl w:val="true"/>
        </w:rPr>
        <w:t>מבצרו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טיבם</w:t>
      </w:r>
      <w:r>
        <w:rPr>
          <w:rtl w:val="true"/>
        </w:rPr>
        <w:t xml:space="preserve">, </w:t>
      </w:r>
      <w:r>
        <w:rPr>
          <w:rtl w:val="true"/>
        </w:rPr>
        <w:t>מהותם</w:t>
      </w:r>
      <w:r>
        <w:rPr>
          <w:rtl w:val="true"/>
        </w:rPr>
        <w:t xml:space="preserve">, </w:t>
      </w:r>
      <w:r>
        <w:rPr>
          <w:rtl w:val="true"/>
        </w:rPr>
        <w:t>אופיים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18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10.11.09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287" w:end="0"/>
        <w:contextualSpacing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1286" w:leader="none"/>
          <w:tab w:val="left" w:pos="7586" w:leader="none"/>
        </w:tabs>
        <w:overflowPunct w:val="false"/>
        <w:autoSpaceDE w:val="false"/>
        <w:spacing w:lineRule="auto" w:line="360" w:before="0" w:after="240"/>
        <w:ind w:start="2160"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קיים אינטרס ציבורי מובהק וחד משמעי בהרתעת היחיד והרתעת הרבים מפני נקיטה בדרך של כוח ואלימות ליישוב מחלוקות וסכסוכים תוך שימוש בנשק קר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המסר שצריך לצאת מבית משפט זה הוא שחברה מתוקנת אינה יכולה להשלים עם שימוש בסכין לשם פתרון מחלוקות וסכסוכים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לשוב ולהדגיש כי זכותו של כל אדם לחיים ולשלמות הגוף היא זכות יסוד מקודשת ואין להתיר לאיש לפגוע בזכות זו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להילחם באלימות שפשטה בחברה הישראלית על כל צורותיה וגווניה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בתוך המשפחה ואם מחוצה 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בקרב בני נוער ואם בקרב מבוגרים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זהו נגע רע שיש לבערו מן היסוד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לפיכך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שעה שנגע האלימות והפרת החוק פושה בחברתנו מן הראוי שידע כל איש ותדע כל אישה כי אם יבחרו בדרך האלימות ייטו בתי המשפט להשית עליהם עונשי מאסר מאחורי סורג ובריח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ההתחברות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החברתיים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שמטבעם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28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בהוקעת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5641/09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ברזנסקי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22.3.10</w:t>
      </w:r>
      <w:r>
        <w:rPr>
          <w:rtl w:val="true"/>
        </w:rPr>
        <w:t>(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2160" w:end="1418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בארצנו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המכרסמת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הדמוקרטית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>. "</w:t>
      </w:r>
      <w:r>
        <w:rPr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b/>
          <w:bCs/>
          <w:rtl w:val="true"/>
        </w:rPr>
        <w:t>" (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5753/04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7.2.2005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מקודשת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וגווניה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מבוגרים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b/>
          <w:bCs/>
          <w:rtl w:val="true"/>
        </w:rPr>
        <w:t>" (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3863/09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10.11.2009</w:t>
      </w:r>
      <w:r>
        <w:rPr>
          <w:b/>
          <w:bCs/>
          <w:rtl w:val="true"/>
        </w:rPr>
        <w:t>))".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start="644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16312-10-13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9.2.14</w:t>
      </w:r>
      <w:r>
        <w:rPr>
          <w:rtl w:val="true"/>
        </w:rPr>
        <w:t xml:space="preserve">),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ומברג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ולמתלוננים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, </w:t>
      </w:r>
      <w:r>
        <w:rPr>
          <w:rtl w:val="true"/>
        </w:rPr>
        <w:t>רשרושים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באוזן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20.3.13</w:t>
      </w:r>
      <w:r>
        <w:rPr>
          <w:rtl w:val="true"/>
        </w:rPr>
        <w:t xml:space="preserve">),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64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33722-08-13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טקצנקו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 (</w:t>
      </w:r>
      <w:r>
        <w:rPr/>
        <w:t>6.11.13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45997-12-11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חסארמה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 (</w:t>
      </w:r>
      <w:r>
        <w:rPr/>
        <w:t>12.3.12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במרפאתו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64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ולתוצאות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השכן</w:t>
      </w:r>
      <w:r>
        <w:rPr>
          <w:rtl w:val="true"/>
        </w:rPr>
        <w:t xml:space="preserve">,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,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וראתב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שותפים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מבצרם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מצח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/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מתגוררים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וחאלד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חאלד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Calibri" w:hAnsi="Calibri" w:cs="Calibri"/>
        </w:rPr>
      </w:pPr>
      <w:r>
        <w:rPr>
          <w:rFonts w:ascii="Arial (W1);Arial" w:hAnsi="Arial (W1);Arial" w:cs="Arial (W1);Arial"/>
          <w:rtl w:val="true"/>
        </w:rPr>
        <w:t>כך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ראוי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עוד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לציין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תוצאות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המעשים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המקבלות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ביטוין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בעובדות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כתב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האישום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המתוקן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ולפיהן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David" w:hAnsi="David"/>
          <w:rtl w:val="true"/>
        </w:rPr>
        <w:t>סאלח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נחבל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בכף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ידו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השמאלית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נחתך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ונזקק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לטיפול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רפואי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לסאלח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בעטיה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כגון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אינהרנטי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וממשית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הצפויה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אחותם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פנייתה</w:t>
      </w:r>
      <w:r>
        <w:rPr>
          <w:rtl w:val="true"/>
        </w:rPr>
        <w:t xml:space="preserve">,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סוגיית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הרשעת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איברהים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טאטור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בדין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הרשעתי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החריג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2083/96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תמר כתב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נב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337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הלכת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כתב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הנדרשים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502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הנורמטיבית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בהוראת</w:t>
      </w:r>
      <w:r>
        <w:rPr>
          <w:rFonts w:ascii="David" w:hAnsi="David"/>
          <w:rtl w:val="true"/>
        </w:rPr>
        <w:t xml:space="preserve">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סדר הדין הפלילי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משולב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התשמ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1982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הפלילי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המאפשר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וזוהי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50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50" w:after="50"/>
        <w:ind w:start="1418" w:end="1418"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1418" w:end="1418"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5102/03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קליין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2007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3596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6866" w:leader="none"/>
        </w:tabs>
        <w:spacing w:lineRule="auto" w:line="360" w:before="280" w:after="280"/>
        <w:ind w:start="1646" w:end="1440"/>
        <w:jc w:val="both"/>
        <w:textAlignment w:val="top"/>
        <w:rPr/>
      </w:pP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. . . </w:t>
      </w:r>
      <w:r>
        <w:rPr>
          <w:b/>
          <w:b/>
          <w:bCs/>
          <w:rtl w:val="true"/>
        </w:rPr>
        <w:t>תכליתו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מהוכחת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ומונעת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. . .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שאשמתו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ותוצאותיה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המגוונות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ולשוות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תווית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אפקטיבית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שוויונית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והוגנת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חדשות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שאחריותם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שהוכחה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ובלעדיה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המוסיפה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הנורמטיבית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הנדרשת</w:t>
      </w:r>
      <w:r>
        <w:rPr>
          <w:b/>
          <w:bCs/>
          <w:rtl w:val="true"/>
        </w:rPr>
        <w:t xml:space="preserve">. . . </w:t>
      </w:r>
    </w:p>
    <w:p>
      <w:pPr>
        <w:pStyle w:val="Normal"/>
        <w:tabs>
          <w:tab w:val="clear" w:pos="720"/>
          <w:tab w:val="left" w:pos="6866" w:leader="none"/>
        </w:tabs>
        <w:spacing w:lineRule="auto" w:line="360" w:before="280" w:after="280"/>
        <w:ind w:start="1646" w:end="1440"/>
        <w:jc w:val="both"/>
        <w:textAlignment w:val="top"/>
        <w:rPr/>
      </w:pP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ומיוחדות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הרלבנטיים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במשמעותה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והבריאותי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</w:t>
      </w:r>
      <w:r>
        <w:rPr>
          <w:rtl w:val="true"/>
        </w:rPr>
        <w:t>.</w:t>
      </w:r>
      <w:r>
        <w:rPr>
          <w:b/>
          <w:bCs/>
          <w:rtl w:val="true"/>
        </w:rPr>
        <w:t>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ומן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הכלל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הפרט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המצטברים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הנדרשים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להותיר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50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1993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הלומד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הנדסאות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ההשלכות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התעסוקתיות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ויקומו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קונקרטית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בתפקודי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הונח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קונקרטי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ההשלכה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הישירה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לימודיו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ובהתאמה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עיסוקו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להרשיע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28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נניח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ומתגבש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תוצאותיהם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טיבם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הגלומה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שלדידי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שלדידי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להותיר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לנאשמים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28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מונחת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99" w:start="184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מוחמד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טאטור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ניבט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שהונח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14.12.2005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ממחיקתה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כשעבריין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מזויין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ממחיקתה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28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1980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הונח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להרשעתו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מועסקים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שולחנו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ספסל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לשהיית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בהפסקת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והרגעת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מתרחש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אפריל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התיישנה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תלכיד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כחרב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המתהפכת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ותוצאותיהם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ישוקללו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מפרוטוקול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29/12/14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תוצאותיהם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99" w:start="184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טאטור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1981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הונח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שולחנו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מסייעים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זוהי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אפריל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לשהיית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בהפסקת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והרגעת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מתרחש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אפריל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תלכיד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כחרב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המתהפכת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ותוצאותיהם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ישוקללו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מפרוטוקול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29/12/14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תוצאותיהם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איברהים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טאטור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1993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הרוחביות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להתפתחות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הנדסאות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",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הטכנולוגית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כנרת</w:t>
      </w:r>
      <w:r>
        <w:rPr>
          <w:rtl w:val="true"/>
        </w:rPr>
        <w:t xml:space="preserve">", </w:t>
      </w:r>
      <w:r>
        <w:rPr>
          <w:rtl w:val="true"/>
        </w:rPr>
        <w:t>בטבריה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חברותי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שמתגבשת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בעשייתו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אפריל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תלכיד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כחרב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המתהפכת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ותוצאותיהם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ישוקללו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מפרוטוקול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29/12/14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תוצאותיהם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425" w:end="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425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לנאשמת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ניבאל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אבו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פרדה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1972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התארסה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ונישאה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כעקרת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והתמקדה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בילדיה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ובדאגה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לצרכיהם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נחבל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ובגפיים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ונותח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בגפיים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מקדישה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הצפויה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בנאשמת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נעדרת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זוהי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בהודאתה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המנהלת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כדפוס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חונכה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שננקטו</w:t>
      </w:r>
      <w:r>
        <w:rPr>
          <w:rtl w:val="true"/>
        </w:rPr>
        <w:t xml:space="preserve">,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מהתנהלותה</w:t>
      </w:r>
      <w:r>
        <w:rPr>
          <w:rtl w:val="true"/>
        </w:rPr>
        <w:t xml:space="preserve">, </w:t>
      </w:r>
      <w:r>
        <w:rPr>
          <w:rtl w:val="true"/>
        </w:rPr>
        <w:t>המעידה</w:t>
      </w:r>
      <w:r>
        <w:rPr>
          <w:rtl w:val="true"/>
        </w:rPr>
        <w:t xml:space="preserve">,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אפריל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נעלמו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ההשלכות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הצפויה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תלכיד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כחרב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המתהפכת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ותוצאותיהם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ישוקללו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מפרוטוקול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29/12/14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תוצאותיהם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425" w:end="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425" w:end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>הראוי</w:t>
      </w: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>יוסף</w:t>
      </w: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u w:val="single"/>
          <w:rtl w:val="true"/>
        </w:rPr>
        <w:t>טאטור</w:t>
      </w:r>
      <w:r>
        <w:rPr>
          <w:rFonts w:cs="Calibri" w:ascii="Calibri" w:hAnsi="Calibri"/>
          <w:b/>
          <w:bCs/>
          <w:sz w:val="22"/>
          <w:szCs w:val="22"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התיישנו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וגרימת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ורכישת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467-05-12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והנפקויות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המיועדת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המציאות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הרצידיוויסטיות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המשמעויות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ובתוקפנות</w:t>
      </w:r>
      <w:r>
        <w:rPr>
          <w:rtl w:val="true"/>
        </w:rPr>
        <w:t xml:space="preserve">, </w:t>
      </w:r>
      <w:r>
        <w:rPr>
          <w:rtl w:val="true"/>
        </w:rPr>
        <w:t>מאבד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ספסל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tl w:val="true"/>
        </w:rPr>
        <w:t xml:space="preserve">,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ואימפולסיביות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מסירותו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תפקודו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ותגובותיו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₪,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אפריל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סוגיה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הרצידיוויסטיות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ומאוזנת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מדרכיו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הסולחה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נימוקים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שיירשמו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ומאוזנת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hyperlink r:id="rId3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56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מטעמים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שיירשמו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שוכנע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מודעת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להשלכות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הארכתו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שיירשמו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לחרוג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הארכתו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הרצדוויסטיות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השכיל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שורשי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מעמיק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דופן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להאריך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שהפעלתו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קפדני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מנזקקות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ונכונותו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ושילובו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התוצאה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ייעודי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האינדיקציות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המקצועיות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ללמדנו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להאריך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ותוצאה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מאוזנת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האינטרסים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הנלחמים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הבכורה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ועשייתו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המבורכת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האינדיקציות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החיוביות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שוקללו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ההנמקות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המצטברות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ולגבש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שיירשמו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להאריך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השיקומי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ישוקלל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תותיר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לעשייתו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המתהפכת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לחייבו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ותוצאותיהם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ישוקללו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מפרוטוקול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29/12/14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תוצאותיהם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99" w:start="184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חמזה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הינדאוי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27.2.2003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הטרדת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התיישנו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ממחיקתן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1979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המשמעויות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שולחנו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ספסל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ללשכה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לשירותים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הכספי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בהפסקת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והרגעת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אפריל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התיישנה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תלכיד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כחרב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המתהפכת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ותוצאותיהם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ישוקללו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מפרוטוקול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29/12/14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תוצאותיהם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מטיעוניהם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שבאיזון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425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425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סוגיית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אחידות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cs="Calibri" w:ascii="Calibri" w:hAnsi="Calibri"/>
          <w:b/>
          <w:bCs/>
          <w:u w:val="single"/>
          <w:rtl w:val="true"/>
        </w:rPr>
        <w:t>":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לדוגמא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14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תירוש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תירוש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בנצרת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257" w:before="0" w:after="160"/>
        <w:ind w:firstLine="720" w:start="720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19/6/16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יתייצב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טבריה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קפדניים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Times New Roman"/>
        </w:rPr>
      </w:pPr>
      <w:r>
        <w:rPr>
          <w:rFonts w:cs="Times New Roman" w:ascii="David" w:hAnsi="David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ועוקב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108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תמציא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השירות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cs="David" w:ascii="David" w:hAnsi="David"/>
          <w:rtl w:val="true"/>
        </w:rPr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הינדאוי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כנא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firstLine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257" w:before="0" w:after="160"/>
        <w:ind w:firstLine="720" w:start="720" w:end="0"/>
        <w:jc w:val="start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17/4/16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יתייצב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טבריה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קפדניים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Times New Roman"/>
        </w:rPr>
      </w:pPr>
      <w:r>
        <w:rPr>
          <w:rFonts w:cs="Times New Roman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ועוקב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108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תמציא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השירות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cs="David" w:ascii="David" w:hAnsi="David"/>
          <w:rtl w:val="true"/>
        </w:rPr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טאטור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סנטר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לבנה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בנצרת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firstLine="720" w:start="720" w:end="0"/>
        <w:jc w:val="start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26/6/16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יתייצב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טבריה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קפדניים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Times New Roman"/>
        </w:rPr>
      </w:pPr>
      <w:r>
        <w:rPr>
          <w:rFonts w:cs="Times New Roman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ועוקב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720" w:start="36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start="36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תמציא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השירות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ניבאל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המשקם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החרושת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תעשיה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בנצרת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לסמכות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26/6/16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תתייצב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טבריה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קפדניים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Times New Roman"/>
        </w:rPr>
      </w:pPr>
      <w:r>
        <w:rPr>
          <w:rFonts w:cs="Times New Roman" w:ascii="David" w:hAnsi="David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ועוקב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720" w:start="36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start="36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תמציא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השירות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cs="David" w:ascii="David" w:hAnsi="David"/>
          <w:rtl w:val="true"/>
        </w:rPr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איברהים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טאטור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בעיריית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נצרת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גלבוע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בנצרת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firstLine="720" w:start="720" w:end="0"/>
        <w:jc w:val="start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12/6/16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יתייצב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טבריה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לשתות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בגילופין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מנהלית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קפדניים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Times New Roman"/>
        </w:rPr>
      </w:pPr>
      <w:r>
        <w:rPr>
          <w:rFonts w:cs="Times New Roman" w:ascii="David" w:hAnsi="David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ועוקב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start="36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start="36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תמציא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השירות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cs="David" w:ascii="David" w:hAnsi="David"/>
          <w:rtl w:val="true"/>
        </w:rPr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טאטור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651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     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start="1218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467-05-12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בנצרת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218" w:end="0"/>
        <w:jc w:val="both"/>
        <w:rPr/>
      </w:pP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218" w:end="0"/>
        <w:jc w:val="both"/>
        <w:rPr/>
      </w:pPr>
      <w:r>
        <w:rPr>
          <w:rFonts w:ascii="David" w:hAnsi="David"/>
          <w:rtl w:val="true"/>
        </w:rPr>
        <w:t>לעיוני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start="1218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429" w:start="108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1080" w:start="1731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  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 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1/6/16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.  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סאלח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רודא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 </w:t>
      </w:r>
    </w:p>
    <w:p>
      <w:pPr>
        <w:pStyle w:val="Normal"/>
        <w:spacing w:lineRule="auto" w:line="360"/>
        <w:ind w:start="990" w:end="0"/>
        <w:jc w:val="both"/>
        <w:rPr/>
      </w:pP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start="27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הערה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הוקרא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13/4/16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בנוכחות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והוא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מפורסם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עתה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 </w:t>
      </w:r>
      <w:r>
        <w:rPr>
          <w:rFonts w:ascii="Calibri" w:hAnsi="Calibri" w:cs="Calibri"/>
          <w:b/>
          <w:b/>
          <w:bCs/>
          <w:u w:val="single"/>
          <w:rtl w:val="true"/>
        </w:rPr>
        <w:t>הנמקותיו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מפאת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היקפו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ואילוצי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הדפסה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אייר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(W1)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4935-05-14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טאטור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sz w:val="2"/>
        <w:szCs w:val="24"/>
        <w:bCs w:val="false"/>
        <w:rFonts w:ascii="Times New Roman" w:hAnsi="Times New Roman" w:cs="David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/>
        <w:bCs w:val="false"/>
        <w:rFonts w:ascii="Times New Roman" w:hAnsi="Times New Roman" w:cs="David"/>
      </w:rPr>
    </w:lvl>
    <w:lvl w:ilvl="1">
      <w:start w:val="1"/>
      <w:numFmt w:val="hebrew1"/>
      <w:lvlText w:val="%2."/>
      <w:lvlJc w:val="end"/>
      <w:pPr>
        <w:tabs>
          <w:tab w:val="num" w:pos="1440"/>
        </w:tabs>
        <w:ind w:start="1440" w:hanging="360"/>
      </w:pPr>
      <w:rPr>
        <w:sz w:val="2"/>
        <w:szCs w:val="24"/>
        <w:bCs w:val="false"/>
        <w:rFonts w:ascii="Times New Roman" w:hAnsi="Times New Roman" w:cs="David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ascii="Times New Roman" w:hAnsi="Times New Roman"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1145" w:hanging="720"/>
      </w:pPr>
      <w:rPr>
        <w:b w:val="false"/>
        <w:bCs w:val="false"/>
        <w:rFonts w:cs="David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sz w:val="2"/>
        <w:szCs w:val="24"/>
        <w:bCs w:val="false"/>
        <w:rFonts w:ascii="Times New Roman" w:hAnsi="Times New Roman" w:cs="David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sz w:val="2"/>
        <w:szCs w:val="24"/>
        <w:bCs w:val="false"/>
        <w:rFonts w:ascii="Times New Roman" w:hAnsi="Times New Roman" w:cs="David"/>
      </w:r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sz w:val="2"/>
        <w:szCs w:val="24"/>
        <w:bCs w:val="false"/>
        <w:rFonts w:ascii="Times New Roman" w:hAnsi="Times New Roman" w:cs="David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David"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David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ascii="Times New Roman" w:hAnsi="Times New Roman" w:cs="David"/>
      <w:bCs w:val="false"/>
      <w:sz w:val="2"/>
      <w:szCs w:val="24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David"/>
    </w:rPr>
  </w:style>
  <w:style w:type="character" w:styleId="WW8Num6z2">
    <w:name w:val="WW8Num6z2"/>
    <w:qFormat/>
    <w:rPr>
      <w:rFonts w:cs="Times New Roman"/>
    </w:rPr>
  </w:style>
  <w:style w:type="character" w:styleId="WW8Num7z0">
    <w:name w:val="WW8Num7z0"/>
    <w:qFormat/>
    <w:rPr>
      <w:rFonts w:cs="Times New Roman"/>
      <w:b w:val="false"/>
      <w:bCs w:val="false"/>
    </w:rPr>
  </w:style>
  <w:style w:type="character" w:styleId="WW8Num7z1">
    <w:name w:val="WW8Num7z1"/>
    <w:qFormat/>
    <w:rPr>
      <w:rFonts w:cs="David"/>
    </w:rPr>
  </w:style>
  <w:style w:type="character" w:styleId="WW8Num7z2">
    <w:name w:val="WW8Num7z2"/>
    <w:qFormat/>
    <w:rPr>
      <w:rFonts w:cs="Times New Roman"/>
    </w:rPr>
  </w:style>
  <w:style w:type="character" w:styleId="WW8Num8z0">
    <w:name w:val="WW8Num8z0"/>
    <w:qFormat/>
    <w:rPr>
      <w:rFonts w:cs="David"/>
      <w:b w:val="false"/>
      <w:bCs w:val="false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ascii="Times New (W1);Times New Roman" w:hAnsi="Times New (W1);Times New Roman" w:cs="Times New (W1);Times New Roman"/>
      <w:color w:val="000000"/>
    </w:rPr>
  </w:style>
  <w:style w:type="character" w:styleId="WW8Num10z0">
    <w:name w:val="WW8Num10z0"/>
    <w:qFormat/>
    <w:rPr>
      <w:rFonts w:cs="Times New Roman"/>
      <w:b w:val="false"/>
      <w:bCs w:val="false"/>
    </w:rPr>
  </w:style>
  <w:style w:type="character" w:styleId="WW8Num10z1">
    <w:name w:val="WW8Num10z1"/>
    <w:qFormat/>
    <w:rPr>
      <w:rFonts w:cs="David"/>
    </w:rPr>
  </w:style>
  <w:style w:type="character" w:styleId="WW8Num10z2">
    <w:name w:val="WW8Num10z2"/>
    <w:qFormat/>
    <w:rPr>
      <w:rFonts w:cs="Times New Roman"/>
    </w:rPr>
  </w:style>
  <w:style w:type="character" w:styleId="WW8Num11z0">
    <w:name w:val="WW8Num11z0"/>
    <w:qFormat/>
    <w:rPr>
      <w:rFonts w:cs="David"/>
      <w:b w:val="false"/>
      <w:bCs w:val="false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  <w:b w:val="false"/>
      <w:bCs w:val="false"/>
    </w:rPr>
  </w:style>
  <w:style w:type="character" w:styleId="WW8Num12z1">
    <w:name w:val="WW8Num12z1"/>
    <w:qFormat/>
    <w:rPr>
      <w:rFonts w:cs="David"/>
    </w:rPr>
  </w:style>
  <w:style w:type="character" w:styleId="WW8Num12z2">
    <w:name w:val="WW8Num12z2"/>
    <w:qFormat/>
    <w:rPr>
      <w:rFonts w:cs="Times New Roman"/>
    </w:rPr>
  </w:style>
  <w:style w:type="character" w:styleId="WW8Num13z0">
    <w:name w:val="WW8Num13z0"/>
    <w:qFormat/>
    <w:rPr>
      <w:rFonts w:cs="David"/>
      <w:b w:val="false"/>
      <w:bCs w:val="false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ascii="Times New Roman" w:hAnsi="Times New Roman" w:cs="David"/>
      <w:b/>
      <w:bCs w:val="false"/>
    </w:rPr>
  </w:style>
  <w:style w:type="character" w:styleId="WW8Num14z1">
    <w:name w:val="WW8Num14z1"/>
    <w:qFormat/>
    <w:rPr>
      <w:rFonts w:ascii="Times New Roman" w:hAnsi="Times New Roman" w:cs="David"/>
      <w:bCs w:val="false"/>
      <w:sz w:val="2"/>
      <w:szCs w:val="24"/>
    </w:rPr>
  </w:style>
  <w:style w:type="character" w:styleId="WW8Num14z2">
    <w:name w:val="WW8Num14z2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cs="David"/>
      <w:b w:val="false"/>
      <w:bCs w:val="false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David"/>
      <w:b w:val="false"/>
      <w:bCs w:val="false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David"/>
      <w:b w:val="false"/>
      <w:bCs w:val="false"/>
    </w:rPr>
  </w:style>
  <w:style w:type="character" w:styleId="WW8Num19z1">
    <w:name w:val="WW8Num19z1"/>
    <w:qFormat/>
    <w:rPr>
      <w:rFonts w:cs="Times New Roman"/>
    </w:rPr>
  </w:style>
  <w:style w:type="character" w:styleId="WW8Num20z0">
    <w:name w:val="WW8Num20z0"/>
    <w:qFormat/>
    <w:rPr>
      <w:rFonts w:cs="Times New Roman"/>
      <w:b w:val="false"/>
      <w:bCs w:val="false"/>
    </w:rPr>
  </w:style>
  <w:style w:type="character" w:styleId="WW8Num20z1">
    <w:name w:val="WW8Num20z1"/>
    <w:qFormat/>
    <w:rPr>
      <w:rFonts w:cs="David"/>
    </w:rPr>
  </w:style>
  <w:style w:type="character" w:styleId="WW8Num20z2">
    <w:name w:val="WW8Num20z2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>
      <w:rFonts w:cs="Times New Roman"/>
      <w:b w:val="false"/>
      <w:bCs w:val="false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David"/>
      <w:b w:val="false"/>
      <w:bCs w:val="false"/>
    </w:rPr>
  </w:style>
  <w:style w:type="character" w:styleId="WW8Num23z1">
    <w:name w:val="WW8Num23z1"/>
    <w:qFormat/>
    <w:rPr>
      <w:rFonts w:cs="Times New Roman"/>
    </w:rPr>
  </w:style>
  <w:style w:type="character" w:styleId="WW8Num24z0">
    <w:name w:val="WW8Num24z0"/>
    <w:qFormat/>
    <w:rPr>
      <w:rFonts w:cs="Times New Roman"/>
      <w:b w:val="false"/>
      <w:bCs w:val="false"/>
    </w:rPr>
  </w:style>
  <w:style w:type="character" w:styleId="WW8Num24z1">
    <w:name w:val="WW8Num24z1"/>
    <w:qFormat/>
    <w:rPr>
      <w:rFonts w:cs="David"/>
    </w:rPr>
  </w:style>
  <w:style w:type="character" w:styleId="WW8Num24z2">
    <w:name w:val="WW8Num24z2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WW8Num26z0">
    <w:name w:val="WW8Num26z0"/>
    <w:qFormat/>
    <w:rPr>
      <w:rFonts w:ascii="Times New Roman" w:hAnsi="Times New Roman" w:cs="David"/>
      <w:bCs w:val="false"/>
      <w:sz w:val="2"/>
      <w:szCs w:val="24"/>
    </w:rPr>
  </w:style>
  <w:style w:type="character" w:styleId="WW8Num26z1">
    <w:name w:val="WW8Num26z1"/>
    <w:qFormat/>
    <w:rPr>
      <w:rFonts w:cs="Times New Roman"/>
    </w:rPr>
  </w:style>
  <w:style w:type="character" w:styleId="WW8Num27z0">
    <w:name w:val="WW8Num27z0"/>
    <w:qFormat/>
    <w:rPr>
      <w:rFonts w:cs="Times New Roman"/>
      <w:b w:val="false"/>
      <w:bCs w:val="false"/>
    </w:rPr>
  </w:style>
  <w:style w:type="character" w:styleId="WW8Num27z1">
    <w:name w:val="WW8Num27z1"/>
    <w:qFormat/>
    <w:rPr>
      <w:rFonts w:cs="David"/>
    </w:rPr>
  </w:style>
  <w:style w:type="character" w:styleId="WW8Num27z2">
    <w:name w:val="WW8Num27z2"/>
    <w:qFormat/>
    <w:rPr>
      <w:rFonts w:cs="Times New Roman"/>
    </w:rPr>
  </w:style>
  <w:style w:type="character" w:styleId="WW8Num28z0">
    <w:name w:val="WW8Num28z0"/>
    <w:qFormat/>
    <w:rPr>
      <w:rFonts w:ascii="Times New Roman" w:hAnsi="Times New Roman" w:cs="David"/>
      <w:bCs w:val="false"/>
      <w:sz w:val="2"/>
      <w:szCs w:val="24"/>
    </w:rPr>
  </w:style>
  <w:style w:type="character" w:styleId="WW8Num28z1">
    <w:name w:val="WW8Num28z1"/>
    <w:qFormat/>
    <w:rPr>
      <w:rFonts w:cs="Times New Roman"/>
    </w:rPr>
  </w:style>
  <w:style w:type="character" w:styleId="WW8Num29z0">
    <w:name w:val="WW8Num29z0"/>
    <w:qFormat/>
    <w:rPr>
      <w:rFonts w:cs="Times New Roman"/>
      <w:b w:val="false"/>
      <w:bCs w:val="false"/>
    </w:rPr>
  </w:style>
  <w:style w:type="character" w:styleId="WW8Num29z1">
    <w:name w:val="WW8Num29z1"/>
    <w:qFormat/>
    <w:rPr>
      <w:rFonts w:cs="David"/>
    </w:rPr>
  </w:style>
  <w:style w:type="character" w:styleId="WW8Num29z2">
    <w:name w:val="WW8Num29z2"/>
    <w:qFormat/>
    <w:rPr>
      <w:rFonts w:cs="Times New Roman"/>
    </w:rPr>
  </w:style>
  <w:style w:type="character" w:styleId="WW8Num30z0">
    <w:name w:val="WW8Num30z0"/>
    <w:qFormat/>
    <w:rPr/>
  </w:style>
  <w:style w:type="character" w:styleId="WW8Num31z0">
    <w:name w:val="WW8Num31z0"/>
    <w:qFormat/>
    <w:rPr>
      <w:rFonts w:cs="Times New Roman"/>
    </w:rPr>
  </w:style>
  <w:style w:type="character" w:styleId="WW8Num31z1">
    <w:name w:val="WW8Num31z1"/>
    <w:qFormat/>
    <w:rPr>
      <w:rFonts w:cs="Times New Roman"/>
    </w:rPr>
  </w:style>
  <w:style w:type="character" w:styleId="WW8Num32z0">
    <w:name w:val="WW8Num32z0"/>
    <w:qFormat/>
    <w:rPr>
      <w:rFonts w:ascii="Arial" w:hAnsi="Arial" w:cs="Arial"/>
      <w:b w:val="false"/>
      <w:bCs w:val="false"/>
      <w:sz w:val="24"/>
      <w:szCs w:val="24"/>
    </w:rPr>
  </w:style>
  <w:style w:type="character" w:styleId="WW8Num32z1">
    <w:name w:val="WW8Num32z1"/>
    <w:qFormat/>
    <w:rPr>
      <w:rFonts w:cs="Times New Roman"/>
    </w:rPr>
  </w:style>
  <w:style w:type="character" w:styleId="WW8Num33z0">
    <w:name w:val="WW8Num33z0"/>
    <w:qFormat/>
    <w:rPr>
      <w:rFonts w:cs="David"/>
      <w:b w:val="false"/>
      <w:bCs w:val="false"/>
    </w:rPr>
  </w:style>
  <w:style w:type="character" w:styleId="WW8Num33z1">
    <w:name w:val="WW8Num33z1"/>
    <w:qFormat/>
    <w:rPr>
      <w:rFonts w:cs="Times New Roman"/>
    </w:rPr>
  </w:style>
  <w:style w:type="character" w:styleId="WW8Num34z0">
    <w:name w:val="WW8Num34z0"/>
    <w:qFormat/>
    <w:rPr>
      <w:rFonts w:cs="David"/>
      <w:b w:val="false"/>
      <w:bCs w:val="false"/>
    </w:rPr>
  </w:style>
  <w:style w:type="character" w:styleId="WW8Num34z1">
    <w:name w:val="WW8Num34z1"/>
    <w:qFormat/>
    <w:rPr>
      <w:rFonts w:cs="Times New Roman"/>
    </w:rPr>
  </w:style>
  <w:style w:type="character" w:styleId="WW8Num35z0">
    <w:name w:val="WW8Num35z0"/>
    <w:qFormat/>
    <w:rPr>
      <w:rFonts w:cs="David"/>
      <w:b w:val="false"/>
      <w:bCs w:val="false"/>
    </w:rPr>
  </w:style>
  <w:style w:type="character" w:styleId="WW8Num35z1">
    <w:name w:val="WW8Num35z1"/>
    <w:qFormat/>
    <w:rPr>
      <w:rFonts w:cs="Times New Roman"/>
    </w:rPr>
  </w:style>
  <w:style w:type="character" w:styleId="WW8Num36z0">
    <w:name w:val="WW8Num36z0"/>
    <w:qFormat/>
    <w:rPr>
      <w:rFonts w:ascii="Times New Roman" w:hAnsi="Times New Roman" w:cs="David"/>
      <w:bCs w:val="false"/>
      <w:sz w:val="2"/>
      <w:szCs w:val="24"/>
    </w:rPr>
  </w:style>
  <w:style w:type="character" w:styleId="WW8Num36z1">
    <w:name w:val="WW8Num36z1"/>
    <w:qFormat/>
    <w:rPr>
      <w:rFonts w:cs="Times New Roman"/>
    </w:rPr>
  </w:style>
  <w:style w:type="character" w:styleId="WW8Num37z0">
    <w:name w:val="WW8Num37z0"/>
    <w:qFormat/>
    <w:rPr>
      <w:rFonts w:cs="David"/>
      <w:b w:val="false"/>
      <w:bCs w:val="false"/>
    </w:rPr>
  </w:style>
  <w:style w:type="character" w:styleId="WW8Num37z1">
    <w:name w:val="WW8Num37z1"/>
    <w:qFormat/>
    <w:rPr>
      <w:rFonts w:cs="Times New Roman"/>
    </w:rPr>
  </w:style>
  <w:style w:type="character" w:styleId="WW8Num38z0">
    <w:name w:val="WW8Num38z0"/>
    <w:qFormat/>
    <w:rPr>
      <w:rFonts w:cs="Times New Roman"/>
      <w:b w:val="false"/>
      <w:bCs w:val="false"/>
    </w:rPr>
  </w:style>
  <w:style w:type="character" w:styleId="WW8Num38z1">
    <w:name w:val="WW8Num38z1"/>
    <w:qFormat/>
    <w:rPr>
      <w:rFonts w:cs="David"/>
    </w:rPr>
  </w:style>
  <w:style w:type="character" w:styleId="WW8Num38z2">
    <w:name w:val="WW8Num38z2"/>
    <w:qFormat/>
    <w:rPr>
      <w:rFonts w:cs="Times New Roman"/>
    </w:rPr>
  </w:style>
  <w:style w:type="character" w:styleId="WW8Num39z0">
    <w:name w:val="WW8Num39z0"/>
    <w:qFormat/>
    <w:rPr>
      <w:rFonts w:cs="David"/>
      <w:b w:val="false"/>
      <w:bCs w:val="false"/>
    </w:rPr>
  </w:style>
  <w:style w:type="character" w:styleId="WW8Num39z1">
    <w:name w:val="WW8Num39z1"/>
    <w:qFormat/>
    <w:rPr>
      <w:rFonts w:cs="Times New Roman"/>
    </w:rPr>
  </w:style>
  <w:style w:type="character" w:styleId="WW8Num40z0">
    <w:name w:val="WW8Num40z0"/>
    <w:qFormat/>
    <w:rPr>
      <w:rFonts w:cs="David"/>
      <w:b w:val="false"/>
      <w:bCs w:val="false"/>
    </w:rPr>
  </w:style>
  <w:style w:type="character" w:styleId="WW8Num40z1">
    <w:name w:val="WW8Num40z1"/>
    <w:qFormat/>
    <w:rPr>
      <w:rFonts w:cs="Times New Roman"/>
    </w:rPr>
  </w:style>
  <w:style w:type="character" w:styleId="WW8Num41z0">
    <w:name w:val="WW8Num41z0"/>
    <w:qFormat/>
    <w:rPr>
      <w:rFonts w:cs="David"/>
    </w:rPr>
  </w:style>
  <w:style w:type="character" w:styleId="WW8Num41z1">
    <w:name w:val="WW8Num41z1"/>
    <w:qFormat/>
    <w:rPr>
      <w:rFonts w:cs="Times New Roman"/>
    </w:rPr>
  </w:style>
  <w:style w:type="character" w:styleId="WW8Num42z0">
    <w:name w:val="WW8Num42z0"/>
    <w:qFormat/>
    <w:rPr>
      <w:rFonts w:cs="David"/>
      <w:b w:val="false"/>
      <w:bCs w:val="false"/>
      <w:sz w:val="24"/>
      <w:szCs w:val="24"/>
    </w:rPr>
  </w:style>
  <w:style w:type="character" w:styleId="WW8Num42z1">
    <w:name w:val="WW8Num42z1"/>
    <w:qFormat/>
    <w:rPr>
      <w:rFonts w:cs="Times New Roman"/>
    </w:rPr>
  </w:style>
  <w:style w:type="character" w:styleId="WW8Num43z0">
    <w:name w:val="WW8Num43z0"/>
    <w:qFormat/>
    <w:rPr>
      <w:rFonts w:cs="Times New Roman"/>
      <w:b w:val="false"/>
      <w:bCs w:val="false"/>
    </w:rPr>
  </w:style>
  <w:style w:type="character" w:styleId="WW8Num43z1">
    <w:name w:val="WW8Num43z1"/>
    <w:qFormat/>
    <w:rPr>
      <w:rFonts w:cs="David"/>
    </w:rPr>
  </w:style>
  <w:style w:type="character" w:styleId="WW8Num43z2">
    <w:name w:val="WW8Num43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3">
    <w:name w:val=" Char Char3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normal-h">
    <w:name w:val="normal-h"/>
    <w:qFormat/>
    <w:rPr>
      <w:rFonts w:cs="Times New Roman"/>
    </w:rPr>
  </w:style>
  <w:style w:type="character" w:styleId="normal-p-h1">
    <w:name w:val="normal-p-h1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cs="David"/>
    </w:rPr>
  </w:style>
  <w:style w:type="paragraph" w:styleId="1">
    <w:name w:val="פיסקת רשימה1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6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.a" TargetMode="External"/><Relationship Id="rId6" Type="http://schemas.openxmlformats.org/officeDocument/2006/relationships/hyperlink" Target="http://www.nevo.co.il/law/70301/499.a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192a" TargetMode="External"/><Relationship Id="rId9" Type="http://schemas.openxmlformats.org/officeDocument/2006/relationships/hyperlink" Target="http://www.nevo.co.il/law/70301/499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382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4588718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573417" TargetMode="External"/><Relationship Id="rId18" Type="http://schemas.openxmlformats.org/officeDocument/2006/relationships/hyperlink" Target="http://www.nevo.co.il/case/5920165" TargetMode="External"/><Relationship Id="rId19" Type="http://schemas.openxmlformats.org/officeDocument/2006/relationships/hyperlink" Target="http://www.nevo.co.il/case/6025720" TargetMode="External"/><Relationship Id="rId20" Type="http://schemas.openxmlformats.org/officeDocument/2006/relationships/hyperlink" Target="http://www.nevo.co.il/case/6030667" TargetMode="External"/><Relationship Id="rId21" Type="http://schemas.openxmlformats.org/officeDocument/2006/relationships/hyperlink" Target="http://www.nevo.co.il/case/5920165" TargetMode="External"/><Relationship Id="rId22" Type="http://schemas.openxmlformats.org/officeDocument/2006/relationships/hyperlink" Target="http://www.nevo.co.il/case/8268306" TargetMode="External"/><Relationship Id="rId23" Type="http://schemas.openxmlformats.org/officeDocument/2006/relationships/hyperlink" Target="http://www.nevo.co.il/case/16997585" TargetMode="External"/><Relationship Id="rId24" Type="http://schemas.openxmlformats.org/officeDocument/2006/relationships/hyperlink" Target="http://www.nevo.co.il/case/7964525" TargetMode="External"/><Relationship Id="rId25" Type="http://schemas.openxmlformats.org/officeDocument/2006/relationships/hyperlink" Target="http://www.nevo.co.il/case/4620404" TargetMode="External"/><Relationship Id="rId26" Type="http://schemas.openxmlformats.org/officeDocument/2006/relationships/hyperlink" Target="http://www.nevo.co.il/case/5810781" TargetMode="External"/><Relationship Id="rId27" Type="http://schemas.openxmlformats.org/officeDocument/2006/relationships/hyperlink" Target="http://www.nevo.co.il/law/74903/192a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case/5993495" TargetMode="External"/><Relationship Id="rId30" Type="http://schemas.openxmlformats.org/officeDocument/2006/relationships/hyperlink" Target="http://www.nevo.co.il/case/4588718" TargetMode="External"/><Relationship Id="rId31" Type="http://schemas.openxmlformats.org/officeDocument/2006/relationships/hyperlink" Target="http://www.nevo.co.il/law/70301/56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4588718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2017-01-10T13:45:00Z</dcterms:created>
  <dc:creator> </dc:creator>
  <dc:description/>
  <cp:keywords/>
  <dc:language>en-IL</dc:language>
  <cp:lastModifiedBy>Tali-a</cp:lastModifiedBy>
  <dcterms:modified xsi:type="dcterms:W3CDTF">2017-01-10T13:45:00Z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טאטור;עלי טאטור;איבראהים טאטור;ניבאל אבו פרדה 5. יוסף טאטור 6. חמזה הינדאווי</vt:lpwstr>
  </property>
  <property fmtid="{D5CDD505-2E9C-101B-9397-08002B2CF9AE}" pid="4" name="CASENOTES1">
    <vt:lpwstr>ProcID=133;209&amp;PartA=864&amp;PartC=12</vt:lpwstr>
  </property>
  <property fmtid="{D5CDD505-2E9C-101B-9397-08002B2CF9AE}" pid="5" name="CASESLISTTMP1">
    <vt:lpwstr>4588718:3;5920165:2;6025720;6030667;8268306;16997585;7964525;4620404;5810781;5993495</vt:lpwstr>
  </property>
  <property fmtid="{D5CDD505-2E9C-101B-9397-08002B2CF9AE}" pid="6" name="CITY">
    <vt:lpwstr>נצ'</vt:lpwstr>
  </property>
  <property fmtid="{D5CDD505-2E9C-101B-9397-08002B2CF9AE}" pid="7" name="DATE">
    <vt:lpwstr>20160522</vt:lpwstr>
  </property>
  <property fmtid="{D5CDD505-2E9C-101B-9397-08002B2CF9AE}" pid="8" name="ISABSTRACT">
    <vt:lpwstr>Y</vt:lpwstr>
  </property>
  <property fmtid="{D5CDD505-2E9C-101B-9397-08002B2CF9AE}" pid="9" name="JUDGE">
    <vt:lpwstr>יפעת שיטרית</vt:lpwstr>
  </property>
  <property fmtid="{D5CDD505-2E9C-101B-9397-08002B2CF9AE}" pid="10" name="LAWLISTTMP1">
    <vt:lpwstr>70301/499.a;380;382.a;056</vt:lpwstr>
  </property>
  <property fmtid="{D5CDD505-2E9C-101B-9397-08002B2CF9AE}" pid="11" name="LAWLISTTMP2">
    <vt:lpwstr>74903/192a</vt:lpwstr>
  </property>
  <property fmtid="{D5CDD505-2E9C-101B-9397-08002B2CF9AE}" pid="12" name="NEWPARTA">
    <vt:lpwstr>4935;13522;40303</vt:lpwstr>
  </property>
  <property fmtid="{D5CDD505-2E9C-101B-9397-08002B2CF9AE}" pid="13" name="NEWPARTB">
    <vt:lpwstr>05;06;05</vt:lpwstr>
  </property>
  <property fmtid="{D5CDD505-2E9C-101B-9397-08002B2CF9AE}" pid="14" name="NEWPARTC">
    <vt:lpwstr>14;;</vt:lpwstr>
  </property>
  <property fmtid="{D5CDD505-2E9C-101B-9397-08002B2CF9AE}" pid="15" name="NEWPROC">
    <vt:lpwstr>תפ;תפ;תפ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390020160522</vt:lpwstr>
  </property>
  <property fmtid="{D5CDD505-2E9C-101B-9397-08002B2CF9AE}" pid="19" name="TYPE_N_DATE">
    <vt:lpwstr>39020160522</vt:lpwstr>
  </property>
  <property fmtid="{D5CDD505-2E9C-101B-9397-08002B2CF9AE}" pid="20" name="WORDNUMPAGES">
    <vt:lpwstr>54</vt:lpwstr>
  </property>
</Properties>
</file>