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5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83"/>
        <w:gridCol w:w="3167"/>
      </w:tblGrid>
      <w:tr>
        <w:trPr>
          <w:trHeight w:val="418" w:hRule="exact"/>
        </w:trPr>
        <w:tc>
          <w:tcPr>
            <w:tcW w:w="865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  <w:bookmarkStart w:id="2" w:name="LawTable"/>
            <w:bookmarkStart w:id="3" w:name="LawTable"/>
            <w:bookmarkEnd w:id="3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456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cs="Tahoma" w:ascii="Tahoma" w:hAnsi="Tahoma"/>
                <w:sz w:val="32"/>
                <w:szCs w:val="32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cs="Tahoma" w:ascii="Tahoma" w:hAnsi="Tahoma"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48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49632-01-18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שיינברג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16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1" w:type="dxa"/>
        <w:jc w:val="start"/>
        <w:tblInd w:w="11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39"/>
        <w:gridCol w:w="5922"/>
      </w:tblGrid>
      <w:tr>
        <w:trPr>
          <w:trHeight w:val="724" w:hRule="atLeast"/>
          <w:cantSplit w:val="true"/>
        </w:trPr>
        <w:tc>
          <w:tcPr>
            <w:tcW w:w="836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</w:p>
        </w:tc>
      </w:tr>
      <w:tr>
        <w:trPr>
          <w:trHeight w:val="724" w:hRule="atLeast"/>
          <w:cantSplit w:val="true"/>
        </w:trPr>
        <w:tc>
          <w:tcPr>
            <w:tcW w:w="2439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FirstAppellant"/>
            <w:bookmarkStart w:id="8" w:name="FirstLawyer"/>
            <w:bookmarkStart w:id="9" w:name="FirstAppellant"/>
            <w:bookmarkEnd w:id="8"/>
            <w:bookmarkEnd w:id="9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פז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61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243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שיינברג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נוריאל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נדון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456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bookmarkStart w:id="10" w:name="PsakDin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גזר דין </w:t>
            </w:r>
            <w:bookmarkEnd w:id="10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נאשם </w:t>
            </w:r>
            <w:r>
              <w:rPr>
                <w:rFonts w:cs="Arial" w:ascii="Arial" w:hAnsi="Arial"/>
                <w:b/>
                <w:bCs/>
                <w:sz w:val="36"/>
                <w:szCs w:val="36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כללי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הצתה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הצתה</w:t>
      </w:r>
      <w:r>
        <w:rPr>
          <w:rtl w:val="true"/>
        </w:rPr>
        <w:t xml:space="preserve">)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24.7.17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</w:t>
      </w:r>
      <w:r>
        <w:rPr>
          <w:rtl w:val="true"/>
        </w:rPr>
        <w:t xml:space="preserve">).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       </w:t>
      </w:r>
      <w:r>
        <w:rPr/>
        <w:t>80-706-33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מרגוליס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29.11.17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מרגוליס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הצתה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3.1.18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המורכב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נירוסטה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פרכלוראטי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ודיפניל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הנפיץ</w:t>
      </w:r>
      <w:r>
        <w:rPr>
          <w:rtl w:val="true"/>
        </w:rPr>
        <w:t xml:space="preserve">)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tl w:val="true"/>
        </w:rPr>
        <w:t xml:space="preserve">).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3.1.18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3.1.18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316-74-901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האופנוע</w:t>
      </w:r>
      <w:r>
        <w:rPr>
          <w:rtl w:val="true"/>
        </w:rPr>
        <w:t xml:space="preserve">)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המזויפת</w:t>
      </w:r>
      <w:r>
        <w:rPr>
          <w:rtl w:val="true"/>
        </w:rPr>
        <w:t xml:space="preserve">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106-20-001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לאצטדיון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ההפעלה</w:t>
      </w:r>
      <w:r>
        <w:rPr>
          <w:rtl w:val="true"/>
        </w:rPr>
        <w:t xml:space="preserve">).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00:04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</w:t>
      </w:r>
      <w:r>
        <w:rPr>
          <w:rtl w:val="true"/>
        </w:rPr>
        <w:t xml:space="preserve">'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</w:t>
      </w:r>
      <w:r>
        <w:rPr>
          <w:rtl w:val="true"/>
        </w:rPr>
        <w:t xml:space="preserve">'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הגפרור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: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בשוקר</w:t>
      </w:r>
      <w:r>
        <w:rPr>
          <w:rtl w:val="true"/>
        </w:rPr>
        <w:t xml:space="preserve">,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בצלחת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ומדמם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 xml:space="preserve">, </w:t>
      </w:r>
      <w:r>
        <w:rPr>
          <w:rtl w:val="true"/>
        </w:rPr>
        <w:t>וחישמל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ובשינויים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איום</w:t>
      </w:r>
      <w:r>
        <w:rPr>
          <w:rtl w:val="true"/>
        </w:rPr>
        <w:t xml:space="preserve">).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שיקללה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).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וכשעושים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תעוזה</w:t>
      </w:r>
      <w:r>
        <w:rPr>
          <w:rtl w:val="true"/>
        </w:rPr>
        <w:t xml:space="preserve">, 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)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לאיים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שהמרכזי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אלגזי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5.2.2015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מחמירה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מתן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הרתעה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וגמול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וזאת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פוטנציאל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הרב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הגלום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Times New Roman" w:hAnsi="Times New Roman" w:eastAsia="Times New Roman" w:cs="David"/>
          <w:b/>
          <w:bCs/>
          <w:spacing w:val="0"/>
          <w:sz w:val="24"/>
          <w:szCs w:val="24"/>
        </w:rPr>
      </w:pPr>
      <w:r>
        <w:rPr>
          <w:rFonts w:eastAsia="Times New Roman" w:cs="David" w:ascii="Times New Roman" w:hAnsi="Times New Roman"/>
          <w:spacing w:val="0"/>
          <w:sz w:val="24"/>
          <w:szCs w:val="24"/>
          <w:rtl w:val="true"/>
        </w:rPr>
        <w:t>'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סחר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חוקי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סולל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לפעילות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אלימה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ובלתי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חוקית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והדבר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חמור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שבעתיים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במציאות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הישראלית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קיים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חשש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תמידי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המוחזק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חוקי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יתגלגל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רק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לידים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עברייניות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עניין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חמור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לעצמו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לידיהם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המבקשים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להוציא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הפועל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פעילות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חבלנית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עוינת</w:t>
      </w:r>
      <w:r>
        <w:rPr>
          <w:rFonts w:eastAsia="Times New Roman" w:cs="David" w:ascii="Times New Roman" w:hAnsi="Times New Roman"/>
          <w:spacing w:val="0"/>
          <w:sz w:val="24"/>
          <w:szCs w:val="24"/>
          <w:rtl w:val="true"/>
        </w:rPr>
        <w:t>'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 (</w:t>
      </w:r>
      <w:hyperlink r:id="rId34">
        <w:r>
          <w:rPr>
            <w:rStyle w:val="Hyperlink"/>
            <w:rFonts w:ascii="Times New Roman" w:hAnsi="Times New Roman" w:eastAsia="Times New Roman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b/>
            <w:bCs/>
            <w:color w:val="0000FF"/>
            <w:spacing w:val="0"/>
            <w:sz w:val="24"/>
            <w:szCs w:val="24"/>
            <w:u w:val="single"/>
          </w:rPr>
          <w:t>2251/11</w:t>
        </w:r>
      </w:hyperlink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נפאע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pacing w:val="0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</w:rPr>
        <w:t>5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 (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</w:rPr>
        <w:t>4.12.2011</w:t>
      </w: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  <w:t>)).</w:t>
      </w:r>
    </w:p>
    <w:p>
      <w:pPr>
        <w:pStyle w:val="Ruller5"/>
        <w:ind w:end="1282"/>
        <w:jc w:val="both"/>
        <w:rPr>
          <w:rFonts w:ascii="Times New Roman" w:hAnsi="Times New Roman" w:eastAsia="Times New Roman" w:cs="David"/>
          <w:b/>
          <w:bCs/>
          <w:spacing w:val="0"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eastAsia="Times New Roman" w:cs="David"/>
          <w:b/>
          <w:bCs/>
          <w:spacing w:val="0"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ענייננו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במטען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חבלה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המערער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ידע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השימוש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המדוייק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שאלירן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ואפי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התכוונו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לעשות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במטען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שאין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צורך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בדמיון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מפותח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להבין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מטען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החבלה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נועד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לצרכים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תמימים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מטעני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מתפוצצים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ומסכנים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עוברי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אורח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תמימים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ברחובותינו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פגיעתם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ברכוש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ובנפש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והם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מביאים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להסלמת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הפעילות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העבריינית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שהושת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המערער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הקלים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שכחלק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ממלחמת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החורמה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שמנהלים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גורמי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אכיפת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החוק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חוליה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וחוליה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בשרשרת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רכישת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המטען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הכנתו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הטמנתו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לתרום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תרומתו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מכאיבה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דא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בחינת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וסבירות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הטיעון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נתתי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דעתי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למגוון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פסקי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שהוגשו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ואחרים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ובהם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: </w:t>
      </w:r>
      <w:hyperlink r:id="rId35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9158/16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אברג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ואח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30.1.2017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); </w:t>
      </w:r>
      <w:hyperlink r:id="rId36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5995/11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בדראן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14.10.2012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);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49995-09-17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4.11.2018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); </w:t>
      </w:r>
      <w:hyperlink r:id="rId38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34413-09-17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28.3.2018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);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4"/>
          <w:szCs w:val="24"/>
        </w:rPr>
        <w:t>32440-06-16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hyperlink r:id="rId39"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גיל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אנג</w:t>
        </w:r>
        <w:r>
          <w:rPr>
            <w:rStyle w:val="Hyperlink"/>
            <w:rFonts w:cs="David" w:ascii="Times New Roman" w:hAnsi="Times New Roman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דה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ואח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pacing w:val="0"/>
          <w:sz w:val="24"/>
          <w:szCs w:val="24"/>
        </w:rPr>
        <w:t>21.12.2017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).</w:t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10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הייתה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מחלוקת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ממש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האישומים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הראשונים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מצומצם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ביותר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ועמדת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התביעה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לתמחר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אישום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בתקופת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נראית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ראויה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ומתיישבת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הטיעון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שגובש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ביחס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מעורבותו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באישום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השני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11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שהייתי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נדרש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בעניינו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השלישי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ולאור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שקלול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הנתונים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שפורטו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34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pacing w:val="0"/>
          <w:sz w:val="24"/>
          <w:szCs w:val="24"/>
        </w:rPr>
        <w:t>62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</w:rPr>
        <w:t>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כעת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להידרש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למכלול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הנתונים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הרלוונטיים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המתאים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לנאשם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ואלה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ind w:hanging="720"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שפורט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מכביד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יחסית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לגילו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ויש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לחומרה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בעובדה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שריצה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תקופת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קצרה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וביצע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כעת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פרק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זמן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ארוך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שחרורו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נתונים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אישיים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ספק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נתוניו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מורכבים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והדברים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עולים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מתסקיר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אביו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נטש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אותו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תינוק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ולאורך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השנים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התפתחו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קשיים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מועטים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יתכן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ונובעים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מאותה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נקודת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פתיחה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מורכבת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לצד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ההתחשבות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בנתונים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ובשים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לב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לעובדה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בהליך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שלישי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נותן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הדין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ראיתי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לציין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הנתונים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האישיים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הולך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ונשחק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תחת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גלגלי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ההרשעות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הקודמות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נתתי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מסוים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לגילו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הצעיר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הודאה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וקבלת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וקיבל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מלאה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מעשיו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ומשכך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עומדת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הזכות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להקלה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בעונש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מוטיב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החיסכון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ציבורי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בעיקר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מוטיב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הפנמת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הפסול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שבמעשים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סיכום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מפעיל את המאסר המותנה בן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 על הנאשם 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5997-12-14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המשפט המחוזי מרכז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ירוצו במצטבר למאסר שהוטל בסעיף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בחופף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סך הכל יירצה הנאשם </w:t>
      </w:r>
      <w:r>
        <w:rPr>
          <w:rFonts w:cs="Arial" w:ascii="Arial" w:hAnsi="Arial"/>
          <w:b/>
          <w:bCs/>
          <w:u w:val="single"/>
        </w:rPr>
        <w:t>52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חודשי מאסר החל מיום מעצרו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13.3.18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הנאשם לא יישא עונש זה אלא אם יעבור תוך שלוש שנים מיום שחרורו עבירות בנשק לפי אחת החלופות המנויות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או עבירה לפי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או עבירה  לפי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או עבירת אלימות נגד הגוף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עבירה של  מתן אמצעים לביצוע פשע או עבירה של קשירת קשר לביצוע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עד ולא יאוחר מיום </w:t>
      </w:r>
      <w:r>
        <w:rPr>
          <w:rFonts w:cs="Arial" w:ascii="Arial" w:hAnsi="Arial"/>
        </w:rPr>
        <w:t>1.6.19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כללי למוצגים לשיקול דעת קצין משטרה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דצמבר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2018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077" w:right="1077" w:gutter="0" w:header="187" w:top="1701" w:footer="72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49632-01-18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שיינברג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eastAsia="Calibri" w:cs="Arial TUR;Arial Unicode MS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 Unicode MS" w:hAnsi="Arial TUR;Arial Unicode MS" w:eastAsia="Calibri" w:cs="Arial TUR;Arial Unicode MS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413i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/456" TargetMode="External"/><Relationship Id="rId11" Type="http://schemas.openxmlformats.org/officeDocument/2006/relationships/hyperlink" Target="http://www.nevo.co.il/law/70301/498.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413i" TargetMode="External"/><Relationship Id="rId20" Type="http://schemas.openxmlformats.org/officeDocument/2006/relationships/hyperlink" Target="http://www.nevo.co.il/law/70301/454" TargetMode="External"/><Relationship Id="rId21" Type="http://schemas.openxmlformats.org/officeDocument/2006/relationships/hyperlink" Target="http://www.nevo.co.il/law/70301/456" TargetMode="External"/><Relationship Id="rId22" Type="http://schemas.openxmlformats.org/officeDocument/2006/relationships/hyperlink" Target="http://www.nevo.co.il/law/70301/498.a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498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456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192" TargetMode="External"/><Relationship Id="rId32" Type="http://schemas.openxmlformats.org/officeDocument/2006/relationships/hyperlink" Target="http://www.nevo.co.il/law/70301/413i" TargetMode="External"/><Relationship Id="rId33" Type="http://schemas.openxmlformats.org/officeDocument/2006/relationships/hyperlink" Target="http://www.nevo.co.il/case/17948154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21731268" TargetMode="External"/><Relationship Id="rId36" Type="http://schemas.openxmlformats.org/officeDocument/2006/relationships/hyperlink" Target="http://www.nevo.co.il/case/6043688" TargetMode="External"/><Relationship Id="rId37" Type="http://schemas.openxmlformats.org/officeDocument/2006/relationships/hyperlink" Target="http://www.nevo.co.il/case/23009435" TargetMode="External"/><Relationship Id="rId38" Type="http://schemas.openxmlformats.org/officeDocument/2006/relationships/hyperlink" Target="http://www.nevo.co.il/case/22993551" TargetMode="External"/><Relationship Id="rId39" Type="http://schemas.openxmlformats.org/officeDocument/2006/relationships/hyperlink" Target="http://www.nevo.co.il/case/21943447" TargetMode="External"/><Relationship Id="rId40" Type="http://schemas.openxmlformats.org/officeDocument/2006/relationships/hyperlink" Target="http://www.nevo.co.il/case/18705438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54" TargetMode="External"/><Relationship Id="rId44" Type="http://schemas.openxmlformats.org/officeDocument/2006/relationships/hyperlink" Target="http://www.nevo.co.il/law/70301/456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2019-04-15T14:20:00Z</dcterms:created>
  <dc:creator> </dc:creator>
  <dc:description/>
  <cp:keywords/>
  <dc:language>en-IL</dc:language>
  <cp:lastModifiedBy>run</cp:lastModifiedBy>
  <dcterms:modified xsi:type="dcterms:W3CDTF">2019-04-15T14:20:00Z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שיינברג;נוריאל חג'אני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17948154;5821327;21731268;6043688;23009435;22993551;21943447;18705438</vt:lpwstr>
  </property>
  <property fmtid="{D5CDD505-2E9C-101B-9397-08002B2CF9AE}" pid="9" name="CITY">
    <vt:lpwstr>ת"א</vt:lpwstr>
  </property>
  <property fmtid="{D5CDD505-2E9C-101B-9397-08002B2CF9AE}" pid="10" name="DATE">
    <vt:lpwstr>20181216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70301/144;144.a;144.b;144.b2;192;413i;454;456:2;498.a;499.a.1</vt:lpwstr>
  </property>
  <property fmtid="{D5CDD505-2E9C-101B-9397-08002B2CF9AE}" pid="15" name="LAWYER">
    <vt:lpwstr>אורן פז;גיא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49632</vt:lpwstr>
  </property>
  <property fmtid="{D5CDD505-2E9C-101B-9397-08002B2CF9AE}" pid="22" name="NEWPARTB">
    <vt:lpwstr>01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390020181216</vt:lpwstr>
  </property>
  <property fmtid="{D5CDD505-2E9C-101B-9397-08002B2CF9AE}" pid="34" name="TYPE_N_DATE">
    <vt:lpwstr>39020181216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