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92"/>
        <w:gridCol w:w="1440"/>
        <w:gridCol w:w="178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49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49708-09-11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חוסיני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44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78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שאהר אטרש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מועאד בן סעיד חוסיני 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רז ולטר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ראפי מסאלחה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 xml:space="preserve">הנאשם הובא באמצעות הליווי </w:t>
      </w:r>
    </w:p>
    <w:p>
      <w:pPr>
        <w:pStyle w:val="David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3" w:name="LawTable"/>
      <w:bookmarkEnd w:id="3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288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&gt;</w:t>
      </w:r>
      <w:r>
        <w:rPr>
          <w:sz w:val="6"/>
          <w:szCs w:val="6"/>
          <w:rtl w:val="true"/>
        </w:rPr>
        <w:t xml:space="preserve">   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הנאשם הודה בכתב אישום שהוגש נגדו לבית משפט זה ביום </w:t>
      </w:r>
      <w:r>
        <w:rPr/>
        <w:t>25.9.11</w:t>
      </w:r>
      <w:r>
        <w:rPr>
          <w:rtl w:val="true"/>
        </w:rPr>
        <w:t xml:space="preserve"> </w:t>
      </w:r>
      <w:r>
        <w:rPr>
          <w:rtl w:val="true"/>
        </w:rPr>
        <w:t>והודה בשני כתבי אישום נוספים שהיו תלויים ועומדים נגדו בבית משפט לנוער נצרת</w:t>
      </w:r>
      <w:r>
        <w:rPr>
          <w:rtl w:val="true"/>
        </w:rPr>
        <w:t xml:space="preserve">, </w:t>
      </w:r>
      <w:r>
        <w:rPr>
          <w:rtl w:val="true"/>
        </w:rPr>
        <w:t>בהיותו קטין</w:t>
      </w:r>
      <w:r>
        <w:rPr>
          <w:rtl w:val="true"/>
        </w:rPr>
        <w:t xml:space="preserve">, </w:t>
      </w:r>
      <w:r>
        <w:rPr>
          <w:rtl w:val="true"/>
        </w:rPr>
        <w:t>אותם צירף לתיק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 התמונה העולה מעובדות כתב האישום שהוגש לבית משפט זה</w:t>
      </w:r>
      <w:r>
        <w:rPr>
          <w:rtl w:val="true"/>
        </w:rPr>
        <w:t xml:space="preserve">, </w:t>
      </w:r>
      <w:r>
        <w:rPr>
          <w:rtl w:val="true"/>
        </w:rPr>
        <w:t>במשך תקופה שאורכה אינו ידוע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ועובר לתאריך </w:t>
      </w:r>
      <w:r>
        <w:rPr/>
        <w:t>17.9.11</w:t>
      </w:r>
      <w:r>
        <w:rPr>
          <w:rtl w:val="true"/>
        </w:rPr>
        <w:t xml:space="preserve"> </w:t>
      </w:r>
      <w:r>
        <w:rPr>
          <w:rtl w:val="true"/>
        </w:rPr>
        <w:t xml:space="preserve">החזיק הנאשם ברשותו אקדח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 xml:space="preserve">ומחסנית תואמת לאקדח זה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המחסנית</w:t>
      </w:r>
      <w:r>
        <w:rPr>
          <w:rtl w:val="true"/>
        </w:rPr>
        <w:t xml:space="preserve">"); </w:t>
      </w:r>
      <w:r>
        <w:rPr>
          <w:rtl w:val="true"/>
        </w:rPr>
        <w:t>כן החזיק ב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מתאימים לאקדח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הכדורים</w:t>
      </w:r>
      <w:r>
        <w:rPr>
          <w:rtl w:val="true"/>
        </w:rPr>
        <w:t xml:space="preserve">"). </w:t>
      </w:r>
      <w:r>
        <w:rPr>
          <w:rtl w:val="true"/>
        </w:rPr>
        <w:t>את האקדח</w:t>
      </w:r>
      <w:r>
        <w:rPr>
          <w:rtl w:val="true"/>
        </w:rPr>
        <w:t xml:space="preserve">, </w:t>
      </w:r>
      <w:r>
        <w:rPr>
          <w:rtl w:val="true"/>
        </w:rPr>
        <w:t>המחסנית והכדורים החזיק הנאשם בביתו ללא רשות על פי 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בתאריך </w:t>
      </w:r>
      <w:r>
        <w:rPr/>
        <w:t>17.9.11</w:t>
      </w:r>
      <w:r>
        <w:rPr>
          <w:rtl w:val="true"/>
        </w:rPr>
        <w:t xml:space="preserve"> </w:t>
      </w:r>
      <w:r>
        <w:rPr>
          <w:rtl w:val="true"/>
        </w:rPr>
        <w:t>נטל עמו הנאשם את האקדח</w:t>
      </w:r>
      <w:r>
        <w:rPr>
          <w:rtl w:val="true"/>
        </w:rPr>
        <w:t xml:space="preserve">, </w:t>
      </w:r>
      <w:r>
        <w:rPr>
          <w:rtl w:val="true"/>
        </w:rPr>
        <w:t>הכדורים והמחסנית והצטרף לנסיעה עם אחר לשכונת שנלר בנצרת שם נעצר על ידי 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 יסוד הודאתו בעובדות כתב האישום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הורשע הנאשם בעבירות 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bookmarkStart w:id="9" w:name="ABSTRACT_START"/>
      <w:bookmarkEnd w:id="9"/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>");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24.6.09</w:t>
      </w:r>
      <w:r>
        <w:rPr>
          <w:rtl w:val="true"/>
        </w:rPr>
        <w:t xml:space="preserve"> </w:t>
      </w:r>
      <w:r>
        <w:rPr>
          <w:rtl w:val="true"/>
        </w:rPr>
        <w:t xml:space="preserve">הוגש לבית משפט השלום לנוער בנצרת כתב אישום נגד הנאשם </w:t>
      </w:r>
      <w:r>
        <w:rPr>
          <w:b/>
          <w:b/>
          <w:bCs/>
          <w:rtl w:val="true"/>
        </w:rPr>
        <w:t>ב</w:t>
      </w:r>
      <w:hyperlink r:id="rId1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2202-07-09</w:t>
        </w:r>
      </w:hyperlink>
      <w:r>
        <w:rPr>
          <w:rtl w:val="true"/>
        </w:rPr>
        <w:t xml:space="preserve">, </w:t>
      </w:r>
      <w:r>
        <w:rPr>
          <w:rtl w:val="true"/>
        </w:rPr>
        <w:t>אשר ייחס לו עבירה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19.9.08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בשכונת אלכרום בנצרת התגלע ויכוח בין המתלונן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, </w:t>
      </w:r>
      <w:r>
        <w:rPr>
          <w:rtl w:val="true"/>
        </w:rPr>
        <w:t xml:space="preserve">נער יליד </w:t>
      </w:r>
      <w:r>
        <w:rPr/>
        <w:t>18.3.93</w:t>
      </w:r>
      <w:r>
        <w:rPr>
          <w:rtl w:val="true"/>
        </w:rPr>
        <w:t xml:space="preserve"> (</w:t>
      </w:r>
      <w:r>
        <w:rPr>
          <w:rtl w:val="true"/>
        </w:rPr>
        <w:t xml:space="preserve">שהיה אז כבן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וחצי</w:t>
      </w:r>
      <w:r>
        <w:rPr>
          <w:rtl w:val="true"/>
        </w:rPr>
        <w:t xml:space="preserve">) </w:t>
      </w:r>
      <w:r>
        <w:rPr>
          <w:rtl w:val="true"/>
        </w:rPr>
        <w:t>ובין הנאשם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במהלכו </w:t>
      </w:r>
      <w:r>
        <w:rPr>
          <w:rtl w:val="true"/>
        </w:rPr>
        <w:t>"</w:t>
      </w:r>
      <w:r>
        <w:rPr>
          <w:rtl w:val="true"/>
        </w:rPr>
        <w:t>הודיע</w:t>
      </w:r>
      <w:r>
        <w:rPr>
          <w:rtl w:val="true"/>
        </w:rPr>
        <w:t xml:space="preserve">" </w:t>
      </w:r>
      <w:r>
        <w:rPr>
          <w:rtl w:val="true"/>
        </w:rPr>
        <w:t>הנאשם למתלונן כי ברצונו לריב עם המתלונן</w:t>
      </w:r>
      <w:r>
        <w:rPr>
          <w:rtl w:val="true"/>
        </w:rPr>
        <w:t xml:space="preserve">; </w:t>
      </w:r>
      <w:r>
        <w:rPr>
          <w:rtl w:val="true"/>
        </w:rPr>
        <w:t xml:space="preserve">בתאריך </w:t>
      </w:r>
      <w:r>
        <w:rPr/>
        <w:t>20.9.08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17:30</w:t>
      </w:r>
      <w:r>
        <w:rPr>
          <w:rtl w:val="true"/>
        </w:rPr>
        <w:t xml:space="preserve">, </w:t>
      </w:r>
      <w:r>
        <w:rPr>
          <w:rtl w:val="true"/>
        </w:rPr>
        <w:t>עת עבר המתלונן ליד ביתו של הנאשם</w:t>
      </w:r>
      <w:r>
        <w:rPr>
          <w:rtl w:val="true"/>
        </w:rPr>
        <w:t xml:space="preserve">, </w:t>
      </w:r>
      <w:r>
        <w:rPr>
          <w:rtl w:val="true"/>
        </w:rPr>
        <w:t>לפתע רץ לעברו הנאשם כשבידו מוט עץ באורך של כמטר</w:t>
      </w:r>
      <w:r>
        <w:rPr>
          <w:rtl w:val="true"/>
        </w:rPr>
        <w:t xml:space="preserve">. </w:t>
      </w:r>
      <w:r>
        <w:rPr>
          <w:rtl w:val="true"/>
        </w:rPr>
        <w:t>הנאשם היכה באמצעות מוט העץ את המתלונן בפניו וכן הכהו ברגלו הימנית</w:t>
      </w:r>
      <w:r>
        <w:rPr>
          <w:rtl w:val="true"/>
        </w:rPr>
        <w:t xml:space="preserve">. </w:t>
      </w:r>
      <w:r>
        <w:rPr>
          <w:rtl w:val="true"/>
        </w:rPr>
        <w:t>כתוצאה מהמכה בפנים</w:t>
      </w:r>
      <w:r>
        <w:rPr>
          <w:rtl w:val="true"/>
        </w:rPr>
        <w:t xml:space="preserve">, </w:t>
      </w:r>
      <w:r>
        <w:rPr>
          <w:rtl w:val="true"/>
        </w:rPr>
        <w:t>נגרם למתלונן שבר באף וכן נגרמו לו פצעים בפניו וברגלו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14.1.10</w:t>
      </w:r>
      <w:r>
        <w:rPr>
          <w:rtl w:val="true"/>
        </w:rPr>
        <w:t xml:space="preserve"> </w:t>
      </w:r>
      <w:r>
        <w:rPr>
          <w:rtl w:val="true"/>
        </w:rPr>
        <w:t xml:space="preserve">הוגש לבית המשפט לנוער בנצרת כתב אישום נוסף נגד הנאשם </w:t>
      </w:r>
      <w:r>
        <w:rPr>
          <w:b/>
          <w:b/>
          <w:bCs/>
          <w:rtl w:val="true"/>
        </w:rPr>
        <w:t>ב</w:t>
      </w:r>
      <w:hyperlink r:id="rId1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21315-01-10</w:t>
        </w:r>
      </w:hyperlink>
      <w:r>
        <w:rPr>
          <w:rtl w:val="true"/>
        </w:rPr>
        <w:t xml:space="preserve">, </w:t>
      </w:r>
      <w:r>
        <w:rPr>
          <w:rtl w:val="true"/>
        </w:rPr>
        <w:t>אשר ייחס לו עבירות של העלבת עובד ציבור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288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ותקיפת שוטר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11.3.09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15:50</w:t>
      </w:r>
      <w:r>
        <w:rPr>
          <w:rtl w:val="true"/>
        </w:rPr>
        <w:t xml:space="preserve"> </w:t>
      </w:r>
      <w:r>
        <w:rPr>
          <w:rtl w:val="true"/>
        </w:rPr>
        <w:t>או בסמוך לכך בשכונת אלכרום בנצרת</w:t>
      </w:r>
      <w:r>
        <w:rPr>
          <w:rtl w:val="true"/>
        </w:rPr>
        <w:t xml:space="preserve">, </w:t>
      </w:r>
      <w:r>
        <w:rPr>
          <w:rtl w:val="true"/>
        </w:rPr>
        <w:t>במהלך טיפול בחפץ חשוד</w:t>
      </w:r>
      <w:r>
        <w:rPr>
          <w:rtl w:val="true"/>
        </w:rPr>
        <w:t xml:space="preserve">, </w:t>
      </w:r>
      <w:r>
        <w:rPr>
          <w:rtl w:val="true"/>
        </w:rPr>
        <w:t>ביקש אדם אבו סמרה</w:t>
      </w:r>
      <w:r>
        <w:rPr>
          <w:rtl w:val="true"/>
        </w:rPr>
        <w:t xml:space="preserve">, </w:t>
      </w:r>
      <w:r>
        <w:rPr>
          <w:rtl w:val="true"/>
        </w:rPr>
        <w:t>שוטר מתחנת נצרת</w:t>
      </w:r>
      <w:r>
        <w:rPr>
          <w:rtl w:val="true"/>
        </w:rPr>
        <w:t xml:space="preserve">, </w:t>
      </w:r>
      <w:r>
        <w:rPr>
          <w:rtl w:val="true"/>
        </w:rPr>
        <w:t>מנערים שהתקבצו במקום להתרחק מהחפץ החשוד</w:t>
      </w:r>
      <w:r>
        <w:rPr>
          <w:rtl w:val="true"/>
        </w:rPr>
        <w:t xml:space="preserve">; </w:t>
      </w:r>
      <w:r>
        <w:rPr>
          <w:rtl w:val="true"/>
        </w:rPr>
        <w:t>באותן נסיבות</w:t>
      </w:r>
      <w:r>
        <w:rPr>
          <w:rtl w:val="true"/>
        </w:rPr>
        <w:t xml:space="preserve">, </w:t>
      </w:r>
      <w:r>
        <w:rPr>
          <w:rtl w:val="true"/>
        </w:rPr>
        <w:t xml:space="preserve">דחף הנאשם את השוטר בגופו ואמר לו </w:t>
      </w:r>
      <w:r>
        <w:rPr>
          <w:rtl w:val="true"/>
        </w:rPr>
        <w:t>"</w:t>
      </w:r>
      <w:r>
        <w:rPr>
          <w:rtl w:val="true"/>
        </w:rPr>
        <w:t>בדוי בוגד בן זונה</w:t>
      </w:r>
      <w:r>
        <w:rPr>
          <w:rtl w:val="true"/>
        </w:rPr>
        <w:t xml:space="preserve">" </w:t>
      </w:r>
      <w:r>
        <w:rPr>
          <w:rtl w:val="true"/>
        </w:rPr>
        <w:t>או אז הודיע השוטר לנאשם</w:t>
      </w:r>
      <w:r>
        <w:rPr>
          <w:rtl w:val="true"/>
        </w:rPr>
        <w:t xml:space="preserve">, </w:t>
      </w:r>
      <w:r>
        <w:rPr>
          <w:rtl w:val="true"/>
        </w:rPr>
        <w:t>כי הינו עצור והעלה אותו לניידת המשטרתית</w:t>
      </w:r>
      <w:r>
        <w:rPr>
          <w:rtl w:val="true"/>
        </w:rPr>
        <w:t xml:space="preserve">; </w:t>
      </w:r>
      <w:r>
        <w:rPr>
          <w:rtl w:val="true"/>
        </w:rPr>
        <w:t>הנאשם השתולל בניידת המשטרתית ושלח את ידיו ורגליו לכל כיוון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על יסוד הודאתו של הנאשם בשני כתבי האישום 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 שהוגשו לבית המשפט לנוער בנצרת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קבעתי כי הנאשם ביצע את העבירות שיוחסו לו בשני כתבי האישום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שירות המבחן למבוגרים בתסקירו מיום </w:t>
      </w:r>
      <w:r>
        <w:rPr/>
        <w:t>13.2.12</w:t>
      </w:r>
      <w:r>
        <w:rPr>
          <w:rtl w:val="true"/>
        </w:rPr>
        <w:t xml:space="preserve"> </w:t>
      </w:r>
      <w:r>
        <w:rPr>
          <w:rtl w:val="true"/>
        </w:rPr>
        <w:t>עמד על נסיבותיו האישיות של הנאשם</w:t>
      </w:r>
      <w:r>
        <w:rPr>
          <w:rtl w:val="true"/>
        </w:rPr>
        <w:t xml:space="preserve">; </w:t>
      </w:r>
      <w:r>
        <w:rPr>
          <w:rtl w:val="true"/>
        </w:rPr>
        <w:t xml:space="preserve">מדובר בנאשם צעיר 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מאורס מזה כשבעה חודשים</w:t>
      </w:r>
      <w:r>
        <w:rPr>
          <w:rtl w:val="true"/>
        </w:rPr>
        <w:t xml:space="preserve">. </w:t>
      </w:r>
      <w:r>
        <w:rPr>
          <w:rtl w:val="true"/>
        </w:rPr>
        <w:t>עובר למעצרו עבד כשנתיים בעבודות ברזל בעסק של המשפחה</w:t>
      </w:r>
      <w:r>
        <w:rPr>
          <w:rtl w:val="true"/>
        </w:rPr>
        <w:t xml:space="preserve">; </w:t>
      </w:r>
      <w:r>
        <w:rPr>
          <w:rtl w:val="true"/>
        </w:rPr>
        <w:t>הנאשם מגמגם ומתקשה לבטא את עצמו היטב בדיבור</w:t>
      </w:r>
      <w:r>
        <w:rPr>
          <w:rtl w:val="true"/>
        </w:rPr>
        <w:t xml:space="preserve">; </w:t>
      </w:r>
      <w:r>
        <w:rPr>
          <w:rtl w:val="true"/>
        </w:rPr>
        <w:t xml:space="preserve">הוא סובל מכך מגיל </w:t>
      </w:r>
      <w:r>
        <w:rPr/>
        <w:t>15</w:t>
      </w:r>
      <w:r>
        <w:rPr>
          <w:rtl w:val="true"/>
        </w:rPr>
        <w:t xml:space="preserve">; </w:t>
      </w:r>
      <w:r>
        <w:rPr>
          <w:rtl w:val="true"/>
        </w:rPr>
        <w:t xml:space="preserve">הנאשם בן למשפחה המונה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; </w:t>
      </w:r>
      <w:r>
        <w:rPr>
          <w:rtl w:val="true"/>
        </w:rPr>
        <w:t>אביו סובל מנכות ואמו הינה עקרת בית</w:t>
      </w:r>
      <w:r>
        <w:rPr>
          <w:rtl w:val="true"/>
        </w:rPr>
        <w:t xml:space="preserve">. </w:t>
      </w:r>
      <w:r>
        <w:rPr>
          <w:rtl w:val="true"/>
        </w:rPr>
        <w:t>מדבריו של הנאשם עלה</w:t>
      </w:r>
      <w:r>
        <w:rPr>
          <w:rtl w:val="true"/>
        </w:rPr>
        <w:t xml:space="preserve">, </w:t>
      </w:r>
      <w:r>
        <w:rPr>
          <w:rtl w:val="true"/>
        </w:rPr>
        <w:t>כי משפחתו מתמודדת עם קשיים כלכליים וכי עבירותיו בוצעו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 xml:space="preserve">על רקע סכסוך שכנים שקיים בין הוריו </w:t>
      </w:r>
      <w:r>
        <w:rPr>
          <w:rtl w:val="true"/>
        </w:rPr>
        <w:t>(</w:t>
      </w:r>
      <w:r>
        <w:rPr>
          <w:rtl w:val="true"/>
        </w:rPr>
        <w:t>אביו</w:t>
      </w:r>
      <w:r>
        <w:rPr>
          <w:rtl w:val="true"/>
        </w:rPr>
        <w:t xml:space="preserve">) </w:t>
      </w:r>
      <w:r>
        <w:rPr>
          <w:rtl w:val="true"/>
        </w:rPr>
        <w:t>לבין שכניהם</w:t>
      </w:r>
      <w:r>
        <w:rPr>
          <w:rtl w:val="true"/>
        </w:rPr>
        <w:t xml:space="preserve">. </w:t>
      </w:r>
      <w:r>
        <w:rPr>
          <w:rtl w:val="true"/>
        </w:rPr>
        <w:t>הנאשם מתאר את עצמו כקורבן לאלימות תמידית מצד ילדי השכנים</w:t>
      </w:r>
      <w:r>
        <w:rPr>
          <w:rtl w:val="true"/>
        </w:rPr>
        <w:t xml:space="preserve">, </w:t>
      </w:r>
      <w:r>
        <w:rPr>
          <w:rtl w:val="true"/>
        </w:rPr>
        <w:t>בעיקר במסגרת בית הספר</w:t>
      </w:r>
      <w:r>
        <w:rPr>
          <w:rtl w:val="true"/>
        </w:rPr>
        <w:t xml:space="preserve">; </w:t>
      </w:r>
      <w:r>
        <w:rPr>
          <w:rtl w:val="true"/>
        </w:rPr>
        <w:t xml:space="preserve">הנאשם למד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הנאשם הודה בפני קצינת המבחן ברוב העובדות המיוחסות לו</w:t>
      </w:r>
      <w:r>
        <w:rPr>
          <w:rtl w:val="true"/>
        </w:rPr>
        <w:t xml:space="preserve">;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בעבירות כלפי השוטר ומתלונן נוסף</w:t>
      </w:r>
      <w:r>
        <w:rPr>
          <w:rtl w:val="true"/>
        </w:rPr>
        <w:t xml:space="preserve">, </w:t>
      </w:r>
      <w:r>
        <w:rPr>
          <w:rtl w:val="true"/>
        </w:rPr>
        <w:t>טען כי הוא זה שנפל קורבן לאלימות מצידם ולכן הגיב באלימות</w:t>
      </w:r>
      <w:r>
        <w:rPr>
          <w:rtl w:val="true"/>
        </w:rPr>
        <w:t xml:space="preserve">; </w:t>
      </w:r>
      <w:r>
        <w:rPr>
          <w:rtl w:val="true"/>
        </w:rPr>
        <w:t>באשר לעבירות הנשק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 מצא את הנשק והתחמושת ורצה למסרם למשטרה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 המבחן התרשמה מתפקוד בינוני של הנאשם</w:t>
      </w:r>
      <w:r>
        <w:rPr>
          <w:rtl w:val="true"/>
        </w:rPr>
        <w:t xml:space="preserve">, </w:t>
      </w:r>
      <w:r>
        <w:rPr>
          <w:rtl w:val="true"/>
        </w:rPr>
        <w:t>אשר מתקשה לשמור על יציבות ותפקוד תקין</w:t>
      </w:r>
      <w:r>
        <w:rPr>
          <w:rtl w:val="true"/>
        </w:rPr>
        <w:t xml:space="preserve">; </w:t>
      </w:r>
      <w:r>
        <w:rPr>
          <w:rtl w:val="true"/>
        </w:rPr>
        <w:t>לאורך השנים התנהגותו הייתה בעייתית</w:t>
      </w:r>
      <w:r>
        <w:rPr>
          <w:rtl w:val="true"/>
        </w:rPr>
        <w:t xml:space="preserve">, </w:t>
      </w:r>
      <w:r>
        <w:rPr>
          <w:rtl w:val="true"/>
        </w:rPr>
        <w:t>תוך שנחשף לחברה עבריינית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התרשמה קצינת המבחן מיכולת וכישורים תעסוקתיים נמוכים בשלב זה</w:t>
      </w:r>
      <w:r>
        <w:rPr>
          <w:rtl w:val="true"/>
        </w:rPr>
        <w:t xml:space="preserve">, </w:t>
      </w:r>
      <w:r>
        <w:rPr>
          <w:rtl w:val="true"/>
        </w:rPr>
        <w:t>בעיקר לאור פגיעות נפשית</w:t>
      </w:r>
      <w:r>
        <w:rPr>
          <w:rtl w:val="true"/>
        </w:rPr>
        <w:t xml:space="preserve">, </w:t>
      </w:r>
      <w:r>
        <w:rPr>
          <w:rtl w:val="true"/>
        </w:rPr>
        <w:t>ערך עצמי וביטחון עצמי נמוכים מאוד</w:t>
      </w:r>
      <w:r>
        <w:rPr>
          <w:rtl w:val="true"/>
        </w:rPr>
        <w:t xml:space="preserve">. </w:t>
      </w:r>
      <w:r>
        <w:rPr>
          <w:rtl w:val="true"/>
        </w:rPr>
        <w:t>עוד התרשמה קצינת המבחן</w:t>
      </w:r>
      <w:r>
        <w:rPr>
          <w:rtl w:val="true"/>
        </w:rPr>
        <w:t xml:space="preserve">, </w:t>
      </w:r>
      <w:r>
        <w:rPr>
          <w:rtl w:val="true"/>
        </w:rPr>
        <w:t>מהעדר בטחון בסיסי במערכות יחסים משמעותיות עם האחר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 מגיל צעיר חווה הנאשם פגיעות רבות בהעדר גורם הורי</w:t>
      </w:r>
      <w:r>
        <w:rPr>
          <w:rtl w:val="true"/>
        </w:rPr>
        <w:t>/</w:t>
      </w:r>
      <w:r>
        <w:rPr>
          <w:rtl w:val="true"/>
        </w:rPr>
        <w:t>סמכותי שייתן לו הגנה ומענה פיזי ונפשי מספקים</w:t>
      </w:r>
      <w:r>
        <w:rPr>
          <w:rtl w:val="true"/>
        </w:rPr>
        <w:t xml:space="preserve">; </w:t>
      </w:r>
      <w:r>
        <w:rPr>
          <w:rtl w:val="true"/>
        </w:rPr>
        <w:t>כתוצאה מכך הוא חווה בדידות רגשית וחברתית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כאמור סובל מגמגום כבד ונראה</w:t>
      </w:r>
      <w:r>
        <w:rPr>
          <w:rtl w:val="true"/>
        </w:rPr>
        <w:t xml:space="preserve">, </w:t>
      </w:r>
      <w:r>
        <w:rPr>
          <w:rtl w:val="true"/>
        </w:rPr>
        <w:t>כי הוא נמנע מלדבר</w:t>
      </w:r>
      <w:r>
        <w:rPr>
          <w:rtl w:val="true"/>
        </w:rPr>
        <w:t xml:space="preserve">, </w:t>
      </w:r>
      <w:r>
        <w:rPr>
          <w:rtl w:val="true"/>
        </w:rPr>
        <w:t>מליצור קשר עם אחרים</w:t>
      </w:r>
      <w:r>
        <w:rPr>
          <w:rtl w:val="true"/>
        </w:rPr>
        <w:t xml:space="preserve">, </w:t>
      </w:r>
      <w:r>
        <w:rPr>
          <w:rtl w:val="true"/>
        </w:rPr>
        <w:t>גם מתוך חווית בושה</w:t>
      </w:r>
      <w:r>
        <w:rPr>
          <w:rtl w:val="true"/>
        </w:rPr>
        <w:t xml:space="preserve">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קיימת כיום יכולת נמוכה לויסות דחפים</w:t>
      </w:r>
      <w:r>
        <w:rPr>
          <w:rtl w:val="true"/>
        </w:rPr>
        <w:t xml:space="preserve">, </w:t>
      </w:r>
      <w:r>
        <w:rPr>
          <w:rtl w:val="true"/>
        </w:rPr>
        <w:t>דבר שעלול להביאו להגיב בתוקפנות לפגיעה בו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 התרשמה קצינת המבחן</w:t>
      </w:r>
      <w:r>
        <w:rPr>
          <w:rtl w:val="true"/>
        </w:rPr>
        <w:t xml:space="preserve">, </w:t>
      </w:r>
      <w:r>
        <w:rPr>
          <w:rtl w:val="true"/>
        </w:rPr>
        <w:t>כי מדובר באדם בעל קווי אישיות תוקפניים ואלימים אשר יזום פגיעה באחר ולא התרשמה מקיומם של דפוסים עבריינים מושרשים</w:t>
      </w:r>
      <w:r>
        <w:rPr>
          <w:rtl w:val="true"/>
        </w:rPr>
        <w:t xml:space="preserve">, </w:t>
      </w:r>
      <w:r>
        <w:rPr>
          <w:rtl w:val="true"/>
        </w:rPr>
        <w:t>למרות מעורבות חוזרת 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אינו רואה בטיפול אפשרות רלוונטית לגביו</w:t>
      </w:r>
      <w:r>
        <w:rPr>
          <w:rtl w:val="true"/>
        </w:rPr>
        <w:t xml:space="preserve">, </w:t>
      </w:r>
      <w:r>
        <w:rPr>
          <w:rtl w:val="true"/>
        </w:rPr>
        <w:t>בשל פגיעות קודמות שחווה וכתוצאה מכך</w:t>
      </w:r>
      <w:r>
        <w:rPr>
          <w:rtl w:val="true"/>
        </w:rPr>
        <w:t xml:space="preserve">, </w:t>
      </w:r>
      <w:r>
        <w:rPr>
          <w:rtl w:val="true"/>
        </w:rPr>
        <w:t>קושי לתת אמון באחר</w:t>
      </w:r>
      <w:r>
        <w:rPr>
          <w:rtl w:val="true"/>
        </w:rPr>
        <w:t xml:space="preserve">, </w:t>
      </w:r>
      <w:r>
        <w:rPr>
          <w:rtl w:val="true"/>
        </w:rPr>
        <w:t>לסמוך עליו ולהיחשף בפניו</w:t>
      </w:r>
      <w:r>
        <w:rPr>
          <w:rtl w:val="true"/>
        </w:rPr>
        <w:t xml:space="preserve">. </w:t>
      </w:r>
      <w:r>
        <w:rPr>
          <w:rtl w:val="true"/>
        </w:rPr>
        <w:t>הנאשם מחזיק בעמדה כי לא ניתן לסייע לו וכי אין פתרון אמיתי למצוקותיו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לא באה קצינת המבחן בהמלצה טיפולית לגביו</w:t>
      </w:r>
      <w:r>
        <w:rPr>
          <w:rtl w:val="true"/>
        </w:rPr>
        <w:t xml:space="preserve">, </w:t>
      </w:r>
      <w:r>
        <w:rPr>
          <w:rtl w:val="true"/>
        </w:rPr>
        <w:t>חרף התרשמותה</w:t>
      </w:r>
      <w:r>
        <w:rPr>
          <w:rtl w:val="true"/>
        </w:rPr>
        <w:t xml:space="preserve">, </w:t>
      </w:r>
      <w:r>
        <w:rPr>
          <w:rtl w:val="true"/>
        </w:rPr>
        <w:t>שללא טיפול מתאים</w:t>
      </w:r>
      <w:r>
        <w:rPr>
          <w:rtl w:val="true"/>
        </w:rPr>
        <w:t xml:space="preserve">, </w:t>
      </w:r>
      <w:r>
        <w:rPr>
          <w:rtl w:val="true"/>
        </w:rPr>
        <w:t>הסיכון לביצוע עבירות נוספות הינו גבוה מהטעמים שפורטו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מבקש להרשיע את הנאשם בשני התיקים שצורפו לתיק זה ולגזור עליו </w:t>
      </w:r>
      <w:r>
        <w:rPr>
          <w:rtl w:val="true"/>
        </w:rPr>
        <w:t>(</w:t>
      </w:r>
      <w:r>
        <w:rPr>
          <w:rtl w:val="true"/>
        </w:rPr>
        <w:t>בגין שלושת התיקים</w:t>
      </w:r>
      <w:r>
        <w:rPr>
          <w:rtl w:val="true"/>
        </w:rPr>
        <w:t xml:space="preserve">) </w:t>
      </w:r>
      <w:r>
        <w:rPr>
          <w:rtl w:val="true"/>
        </w:rPr>
        <w:t>עונשים ראויים של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ופיצוי לשני המתלוננים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עמד בטיעוניו על כך</w:t>
      </w:r>
      <w:r>
        <w:rPr>
          <w:rtl w:val="true"/>
        </w:rPr>
        <w:t xml:space="preserve">, </w:t>
      </w:r>
      <w:r>
        <w:rPr>
          <w:rtl w:val="true"/>
        </w:rPr>
        <w:t>שאין המדובר במעידה חד פעמית אלא ברצף הסתבכויות שסופו בהעדר המלצה טיפולית של קצין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לעבירות בנשק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בעבירה שהיא </w:t>
      </w:r>
      <w:r>
        <w:rPr>
          <w:rtl w:val="true"/>
        </w:rPr>
        <w:t>"</w:t>
      </w:r>
      <w:r>
        <w:rPr>
          <w:rtl w:val="true"/>
        </w:rPr>
        <w:t>בכותרות</w:t>
      </w:r>
      <w:r>
        <w:rPr>
          <w:rtl w:val="true"/>
        </w:rPr>
        <w:t xml:space="preserve">", </w:t>
      </w:r>
      <w:r>
        <w:rPr>
          <w:rtl w:val="true"/>
        </w:rPr>
        <w:t>שהרוב לגביה כבר נאמר והזמן הוא זמן למעשים</w:t>
      </w:r>
      <w:r>
        <w:rPr>
          <w:rtl w:val="true"/>
        </w:rPr>
        <w:t xml:space="preserve">; </w:t>
      </w:r>
      <w:r>
        <w:rPr>
          <w:rtl w:val="true"/>
        </w:rPr>
        <w:t>נשק בלתי חוקי מהווה סיכון</w:t>
      </w:r>
      <w:r>
        <w:rPr>
          <w:rtl w:val="true"/>
        </w:rPr>
        <w:t xml:space="preserve">, </w:t>
      </w:r>
      <w:r>
        <w:rPr>
          <w:rtl w:val="true"/>
        </w:rPr>
        <w:t>נועד לביצוע פעולות בלתי חוקיות והוא נתפס במקרה דנן תוך כדי אירוע של שתיית אלכוהול</w:t>
      </w:r>
      <w:r>
        <w:rPr>
          <w:rtl w:val="true"/>
        </w:rPr>
        <w:t xml:space="preserve">, </w:t>
      </w:r>
      <w:r>
        <w:rPr>
          <w:rtl w:val="true"/>
        </w:rPr>
        <w:t>דבר המהווה חיבור נפיץ במיוחד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 חטא בעבירה של חבלה חמורה והעלבה ותקיפה של שוטר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סבור</w:t>
      </w:r>
      <w:r>
        <w:rPr>
          <w:rtl w:val="true"/>
        </w:rPr>
        <w:t xml:space="preserve">, </w:t>
      </w:r>
      <w:r>
        <w:rPr>
          <w:rtl w:val="true"/>
        </w:rPr>
        <w:t>כי כל אחד מכתבי האישום מגלם בתוכו חומרה אשר מקבלת משמעות יתירה כשהיא מצטרפת לחומרה שבשאר כתבי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מבקש להסתפק בתקופת מעצרו של הנאשם </w:t>
      </w:r>
      <w:r>
        <w:rPr>
          <w:rtl w:val="true"/>
        </w:rPr>
        <w:t>(</w:t>
      </w:r>
      <w:r>
        <w:rPr>
          <w:rtl w:val="true"/>
        </w:rPr>
        <w:t xml:space="preserve">החל מיום </w:t>
      </w:r>
      <w:r>
        <w:rPr/>
        <w:t>17.9.11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עמד בטיעוניו על נסיבותיו האישיות של הנאשם בהדגישו</w:t>
      </w:r>
      <w:r>
        <w:rPr>
          <w:rtl w:val="true"/>
        </w:rPr>
        <w:t xml:space="preserve">, </w:t>
      </w:r>
      <w:r>
        <w:rPr>
          <w:rtl w:val="true"/>
        </w:rPr>
        <w:t>כי בשל ליקוייו הנפשיים</w:t>
      </w:r>
      <w:r>
        <w:rPr>
          <w:rtl w:val="true"/>
        </w:rPr>
        <w:t xml:space="preserve">, </w:t>
      </w:r>
      <w:r>
        <w:rPr>
          <w:rtl w:val="true"/>
        </w:rPr>
        <w:t xml:space="preserve">התעקש הנאשם </w:t>
      </w:r>
      <w:r>
        <w:rPr>
          <w:rtl w:val="true"/>
        </w:rPr>
        <w:t>"</w:t>
      </w:r>
      <w:r>
        <w:rPr>
          <w:rtl w:val="true"/>
        </w:rPr>
        <w:t>לקחת את התיק</w:t>
      </w:r>
      <w:r>
        <w:rPr>
          <w:rtl w:val="true"/>
        </w:rPr>
        <w:t xml:space="preserve">" </w:t>
      </w:r>
      <w:r>
        <w:rPr>
          <w:rtl w:val="true"/>
        </w:rPr>
        <w:t>על כתפיו ולפטור את יתר המעורבים מכל אשמה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סבור</w:t>
      </w:r>
      <w:r>
        <w:rPr>
          <w:rtl w:val="true"/>
        </w:rPr>
        <w:t xml:space="preserve">, </w:t>
      </w:r>
      <w:r>
        <w:rPr>
          <w:rtl w:val="true"/>
        </w:rPr>
        <w:t>כי בתיק שהוגש לבית משפט כאן מדובר בשתי עבירות בגין מסכת עובדתית אחת שמצמיחה שתי הוראות חיקוק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לתסקיר בהטעימו</w:t>
      </w:r>
      <w:r>
        <w:rPr>
          <w:rtl w:val="true"/>
        </w:rPr>
        <w:t xml:space="preserve">, </w:t>
      </w:r>
      <w:r>
        <w:rPr>
          <w:rtl w:val="true"/>
        </w:rPr>
        <w:t>כי קצינת המבחן ציינה כי הנאשם חווה ילדות קשה מאוד</w:t>
      </w:r>
      <w:r>
        <w:rPr>
          <w:rtl w:val="true"/>
        </w:rPr>
        <w:t xml:space="preserve">, </w:t>
      </w:r>
      <w:r>
        <w:rPr>
          <w:rtl w:val="true"/>
        </w:rPr>
        <w:t>שבגללה הוא סובל מבעיה נפשית ומגמגומים וקשיי דיבור</w:t>
      </w:r>
      <w:r>
        <w:rPr>
          <w:rtl w:val="true"/>
        </w:rPr>
        <w:t xml:space="preserve">; </w:t>
      </w:r>
      <w:r>
        <w:rPr>
          <w:rtl w:val="true"/>
        </w:rPr>
        <w:t>הנאשם היה קורבן לאלימות קשה של נערים אחרים בשל סכסוך שכונתי שהוא חווה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הוסיף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גדל בסביבה הסובלת מאלימות רבה </w:t>
      </w:r>
      <w:r>
        <w:rPr>
          <w:rtl w:val="true"/>
        </w:rPr>
        <w:t>"</w:t>
      </w:r>
      <w:r>
        <w:rPr>
          <w:rtl w:val="true"/>
        </w:rPr>
        <w:t>והדרך המקובלת</w:t>
      </w:r>
      <w:r>
        <w:rPr>
          <w:rtl w:val="true"/>
        </w:rPr>
        <w:t xml:space="preserve">" </w:t>
      </w:r>
      <w:r>
        <w:rPr>
          <w:rtl w:val="true"/>
        </w:rPr>
        <w:t>ליישוב סכסוכים במקומות אלה היא דרך האלימות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סבור</w:t>
      </w:r>
      <w:r>
        <w:rPr>
          <w:rtl w:val="true"/>
        </w:rPr>
        <w:t xml:space="preserve">, </w:t>
      </w:r>
      <w:r>
        <w:rPr>
          <w:rtl w:val="true"/>
        </w:rPr>
        <w:t>כי הנאשם הוא קורבן לסיטואציה זו ואין המדובר באדם שיש בו מטען ופוטנציאל עברייני</w:t>
      </w:r>
      <w:r>
        <w:rPr>
          <w:rtl w:val="true"/>
        </w:rPr>
        <w:t xml:space="preserve">, </w:t>
      </w:r>
      <w:r>
        <w:rPr>
          <w:rtl w:val="true"/>
        </w:rPr>
        <w:t>כפי שציינה קצינת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להתחשב בגילו הצעיר של הנאשם</w:t>
      </w:r>
      <w:r>
        <w:rPr>
          <w:rtl w:val="true"/>
        </w:rPr>
        <w:t xml:space="preserve">, </w:t>
      </w:r>
      <w:r>
        <w:rPr>
          <w:rtl w:val="true"/>
        </w:rPr>
        <w:t>אשר מעולם לא הורשע בעבירה פלילית קודמת ומדובר במעצרו הראשון</w:t>
      </w:r>
      <w:r>
        <w:rPr>
          <w:rtl w:val="true"/>
        </w:rPr>
        <w:t xml:space="preserve">; </w:t>
      </w:r>
      <w:r>
        <w:rPr>
          <w:rtl w:val="true"/>
        </w:rPr>
        <w:t>מגמת בתי המשפט להעדיף לגבי נאשמים צעירים את שיקול השיקום על יתר שיקולי הענישה</w:t>
      </w:r>
      <w:r>
        <w:rPr>
          <w:rtl w:val="true"/>
        </w:rPr>
        <w:t xml:space="preserve">, </w:t>
      </w:r>
      <w:r>
        <w:rPr>
          <w:rtl w:val="true"/>
        </w:rPr>
        <w:t>כך 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העבירות נשוא שני התיקים שצורפו בוצעו על ידי הנאשם כשהיה קטין ושיקול הדעת שלו היה מוגבל ומכאן הרציונל לגישה הענישתית המיוחדת של קטינים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לעבירת הנשק נטען</w:t>
      </w:r>
      <w:r>
        <w:rPr>
          <w:rtl w:val="true"/>
        </w:rPr>
        <w:t xml:space="preserve">, </w:t>
      </w:r>
      <w:r>
        <w:rPr>
          <w:rtl w:val="true"/>
        </w:rPr>
        <w:t>כי לא נעשה שימוש בפועל באותו 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תמך את טיעוניו באסופה של פסקי דין מקלים בהדגישו</w:t>
      </w:r>
      <w:r>
        <w:rPr>
          <w:rtl w:val="true"/>
        </w:rPr>
        <w:t xml:space="preserve">, </w:t>
      </w:r>
      <w:r>
        <w:rPr>
          <w:rtl w:val="true"/>
        </w:rPr>
        <w:t>כי כל האסמכתאות באות ללמד שעל אף כל הקריאות להחמיר ברמת הענישה</w:t>
      </w:r>
      <w:r>
        <w:rPr>
          <w:rtl w:val="true"/>
        </w:rPr>
        <w:t xml:space="preserve">, </w:t>
      </w:r>
      <w:r>
        <w:rPr>
          <w:rtl w:val="true"/>
        </w:rPr>
        <w:t>פסיקה מהזמן האחרון מראה</w:t>
      </w:r>
      <w:r>
        <w:rPr>
          <w:rtl w:val="true"/>
        </w:rPr>
        <w:t xml:space="preserve">, </w:t>
      </w:r>
      <w:r>
        <w:rPr>
          <w:rtl w:val="true"/>
        </w:rPr>
        <w:t>כי בתי המשפט נמנעו מהטלת מאסר בפועל בעבירות בנשק ובעבירות אלימות במקרים חמורים יותר מהמקרה עסקינן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שמעתי את דבריו של הנאשם שהביע צער וחרטה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אין חולק</w:t>
      </w:r>
      <w:r>
        <w:rPr>
          <w:rtl w:val="true"/>
        </w:rPr>
        <w:t xml:space="preserve">, </w:t>
      </w:r>
      <w:r>
        <w:rPr>
          <w:rtl w:val="true"/>
        </w:rPr>
        <w:t>כי הנאשם חטא בעבירות חמורות</w:t>
      </w:r>
      <w:r>
        <w:rPr>
          <w:rtl w:val="true"/>
        </w:rPr>
        <w:t xml:space="preserve">. </w:t>
      </w:r>
      <w:r>
        <w:rPr>
          <w:rtl w:val="true"/>
        </w:rPr>
        <w:t>כפי שטען ב</w:t>
      </w:r>
      <w:r>
        <w:rPr>
          <w:rtl w:val="true"/>
        </w:rPr>
        <w:t>"</w:t>
      </w:r>
      <w:r>
        <w:rPr>
          <w:rtl w:val="true"/>
        </w:rPr>
        <w:t>כ המאשימה ובצדק</w:t>
      </w:r>
      <w:r>
        <w:rPr>
          <w:rtl w:val="true"/>
        </w:rPr>
        <w:t xml:space="preserve">, </w:t>
      </w:r>
      <w:r>
        <w:rPr>
          <w:rtl w:val="true"/>
        </w:rPr>
        <w:t>אין המדובר במעידה חד פעמית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20.9.08</w:t>
      </w:r>
      <w:r>
        <w:rPr>
          <w:rtl w:val="true"/>
        </w:rPr>
        <w:t xml:space="preserve">, </w:t>
      </w:r>
      <w:r>
        <w:rPr>
          <w:rtl w:val="true"/>
        </w:rPr>
        <w:t xml:space="preserve">בהיותו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ושלושה חודשים</w:t>
      </w:r>
      <w:r>
        <w:rPr>
          <w:rtl w:val="true"/>
        </w:rPr>
        <w:t xml:space="preserve">, </w:t>
      </w:r>
      <w:r>
        <w:rPr>
          <w:rtl w:val="true"/>
        </w:rPr>
        <w:t>תקף הנאשם צעיר אחר שעבר ליד ביתו באמצעות מוט עץ</w:t>
      </w:r>
      <w:r>
        <w:rPr>
          <w:rtl w:val="true"/>
        </w:rPr>
        <w:t xml:space="preserve">; </w:t>
      </w:r>
      <w:r>
        <w:rPr>
          <w:rtl w:val="true"/>
        </w:rPr>
        <w:t>הוא הכה אותו בפניו וברגלו וגרם לו לשבר באף ולפצעים בפניו וברגלו</w:t>
      </w:r>
      <w:r>
        <w:rPr>
          <w:rtl w:val="true"/>
        </w:rPr>
        <w:t xml:space="preserve">. </w:t>
      </w:r>
      <w:r>
        <w:rPr>
          <w:rtl w:val="true"/>
        </w:rPr>
        <w:t>בחלוף כ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11.3.09</w:t>
      </w:r>
      <w:r>
        <w:rPr>
          <w:rtl w:val="true"/>
        </w:rPr>
        <w:t xml:space="preserve">, </w:t>
      </w:r>
      <w:r>
        <w:rPr>
          <w:rtl w:val="true"/>
        </w:rPr>
        <w:t>דחף הנאשם שוטר שטיפל בחפץ חשוד והעליב אותו ומשנעצר התחיל להשתולל</w:t>
      </w:r>
      <w:r>
        <w:rPr>
          <w:rtl w:val="true"/>
        </w:rPr>
        <w:t xml:space="preserve">. </w:t>
      </w:r>
      <w:r>
        <w:rPr>
          <w:rtl w:val="true"/>
        </w:rPr>
        <w:t>לאחר כשנה מהגיעו לגיל הבגרות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17.9.11</w:t>
      </w:r>
      <w:r>
        <w:rPr>
          <w:rtl w:val="true"/>
        </w:rPr>
        <w:t xml:space="preserve"> </w:t>
      </w:r>
      <w:r>
        <w:rPr>
          <w:rtl w:val="true"/>
        </w:rPr>
        <w:t>החזיק ונשא הנאשם אקדח</w:t>
      </w:r>
      <w:r>
        <w:rPr>
          <w:rtl w:val="true"/>
        </w:rPr>
        <w:t xml:space="preserve">, </w:t>
      </w:r>
      <w:r>
        <w:rPr>
          <w:rtl w:val="true"/>
        </w:rPr>
        <w:t>מחסנית וכדורים בלא רשות על פי 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מעשיו של הנאשם כאמור</w:t>
      </w:r>
      <w:r>
        <w:rPr>
          <w:rtl w:val="true"/>
        </w:rPr>
        <w:t xml:space="preserve">, </w:t>
      </w:r>
      <w:r>
        <w:rPr>
          <w:rtl w:val="true"/>
        </w:rPr>
        <w:t>לא כל שכן הצטברותם אחד למשנהו</w:t>
      </w:r>
      <w:r>
        <w:rPr>
          <w:rtl w:val="true"/>
        </w:rPr>
        <w:t xml:space="preserve">, </w:t>
      </w:r>
      <w:r>
        <w:rPr>
          <w:rtl w:val="true"/>
        </w:rPr>
        <w:t>מלמדים על מסוכנותו של הנאשם</w:t>
      </w:r>
      <w:r>
        <w:rPr>
          <w:rtl w:val="true"/>
        </w:rPr>
        <w:t xml:space="preserve">. </w:t>
      </w:r>
      <w:r>
        <w:rPr>
          <w:rtl w:val="true"/>
        </w:rPr>
        <w:t>הנאשם לא למד את הלקח משני המקרים בהם הסתבך בהיותו קטין והוסיף להסתבך במעשים פליליים גם לאחר הגיעו לגיל הבגרות</w:t>
      </w:r>
      <w:r>
        <w:rPr>
          <w:rtl w:val="true"/>
        </w:rPr>
        <w:t xml:space="preserve">; </w:t>
      </w:r>
      <w:r>
        <w:rPr>
          <w:rtl w:val="true"/>
        </w:rPr>
        <w:t>תחת לשנות את דרכיו המשיך הנאשם בדרכו הקלוקלת</w:t>
      </w:r>
      <w:r>
        <w:rPr>
          <w:rtl w:val="true"/>
        </w:rPr>
        <w:t xml:space="preserve">. </w:t>
      </w:r>
      <w:r>
        <w:rPr>
          <w:rtl w:val="true"/>
        </w:rPr>
        <w:t>קצינת המבחן ציינה</w:t>
      </w:r>
      <w:r>
        <w:rPr>
          <w:rtl w:val="true"/>
        </w:rPr>
        <w:t xml:space="preserve">, </w:t>
      </w:r>
      <w:r>
        <w:rPr>
          <w:rtl w:val="true"/>
        </w:rPr>
        <w:t>כי לאורך השנים התנהגותו הייתה בעייתית</w:t>
      </w:r>
      <w:r>
        <w:rPr>
          <w:rtl w:val="true"/>
        </w:rPr>
        <w:t xml:space="preserve">, </w:t>
      </w:r>
      <w:r>
        <w:rPr>
          <w:rtl w:val="true"/>
        </w:rPr>
        <w:t>תוך שנחשף לחברה עבריינית והוא עלול להגיב בתוקפנות לפגיעה בו כיום</w:t>
      </w:r>
      <w:r>
        <w:rPr>
          <w:rtl w:val="true"/>
        </w:rPr>
        <w:t xml:space="preserve">. </w:t>
      </w:r>
      <w:r>
        <w:rPr>
          <w:rtl w:val="true"/>
        </w:rPr>
        <w:t>הנאשם לא רואה בטיפול אפשרות רלוונטית 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בית המשפט העליון פסק וחזר ופסק</w:t>
      </w:r>
      <w:r>
        <w:rPr>
          <w:rtl w:val="true"/>
        </w:rPr>
        <w:t xml:space="preserve">, </w:t>
      </w:r>
      <w:r>
        <w:rPr>
          <w:rtl w:val="true"/>
        </w:rPr>
        <w:t>בעיקר לאחרונה</w:t>
      </w:r>
      <w:r>
        <w:rPr>
          <w:rtl w:val="true"/>
        </w:rPr>
        <w:t xml:space="preserve">, </w:t>
      </w:r>
      <w:r>
        <w:rPr>
          <w:rtl w:val="true"/>
        </w:rPr>
        <w:t>אודות הצורך בהחמרת הענישה בגין עבירות בנשק בשל פגיעתם הרעה ופוטנציאל הסכנה הטמון בהן</w:t>
      </w:r>
      <w:r>
        <w:rPr>
          <w:rtl w:val="true"/>
        </w:rPr>
        <w:t xml:space="preserve">. </w:t>
      </w:r>
      <w:r>
        <w:rPr>
          <w:rtl w:val="true"/>
        </w:rPr>
        <w:t>נשק הוא נשק ופגיעתו היא קשה וחמורה בין אם הוא מוחזק על ידי בגיר</w:t>
      </w:r>
      <w:r>
        <w:rPr>
          <w:rtl w:val="true"/>
        </w:rPr>
        <w:t xml:space="preserve">, </w:t>
      </w:r>
      <w:r>
        <w:rPr>
          <w:rtl w:val="true"/>
        </w:rPr>
        <w:t>על ידי צעיר או על ידי קטין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4450/11</w:t>
        </w:r>
      </w:hyperlink>
      <w:r>
        <w:rPr>
          <w:rtl w:val="true"/>
        </w:rPr>
        <w:t xml:space="preserve"> </w:t>
      </w:r>
      <w:r>
        <w:rPr>
          <w:rtl w:val="true"/>
        </w:rPr>
        <w:t>חאלד עספור 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 xml:space="preserve">פסק דין מיום </w:t>
      </w:r>
      <w:r>
        <w:rPr/>
        <w:t>8.2.12</w:t>
      </w:r>
      <w:r>
        <w:rPr>
          <w:rtl w:val="true"/>
        </w:rPr>
        <w:t xml:space="preserve">) </w:t>
      </w:r>
      <w:r>
        <w:rPr>
          <w:rtl w:val="true"/>
        </w:rPr>
        <w:t>נפסק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השונות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הנשקפות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ותוצאותיהן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5833/07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18.11.2007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לאחרונה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ניכרת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מגמת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בעונשי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הנגזרים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נאשמים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נוכח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היקפן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המתרחב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והצורך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בבלימתן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2251/11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נפאע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4.12.2011</w:t>
      </w:r>
      <w:r>
        <w:rPr>
          <w:rFonts w:cs="David"/>
          <w:b/>
          <w:bCs/>
          <w:sz w:val="24"/>
          <w:szCs w:val="24"/>
          <w:rtl w:val="true"/>
        </w:rPr>
        <w:t>)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נפאע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נקבע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הגיעה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בעונשיהם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נאשמים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המורשעים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סחר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בפרט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למגמת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ההחמרה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בערעורים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גזרי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מורשעים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נוספים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שהורשעו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עקב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הסוכן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שפעל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בענייננו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ועונשם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הוחמר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כמובן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ההחמרה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ברמת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להיעשות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בהדרגה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מובן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להתחשב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בשיקולי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האינדיבידואליים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העניין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עמד בית המשפט עליון לא אחת על הצורך בענישה מרתיעה על מנת לבער ולשרש את נגע האלימות גם כאשר עסקינן בנאשמים צעירים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6260/05</w:t>
        </w:r>
      </w:hyperlink>
      <w:r>
        <w:rPr>
          <w:rtl w:val="true"/>
        </w:rPr>
        <w:t xml:space="preserve"> </w:t>
      </w:r>
      <w:r>
        <w:rPr>
          <w:rtl w:val="true"/>
        </w:rPr>
        <w:t>מאלק חדרה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 xml:space="preserve">,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7365/06</w:t>
        </w:r>
      </w:hyperlink>
      <w:r>
        <w:rPr>
          <w:rtl w:val="true"/>
        </w:rPr>
        <w:t xml:space="preserve">,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7520/06</w:t>
        </w:r>
      </w:hyperlink>
      <w:r>
        <w:rPr>
          <w:rtl w:val="true"/>
        </w:rPr>
        <w:t xml:space="preserve"> </w:t>
      </w:r>
      <w:r>
        <w:rPr>
          <w:rtl w:val="true"/>
        </w:rPr>
        <w:t>פלוני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העליון רואה בחומרה עבירות המבוצעות נגד שוטרים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5579/10</w:t>
        </w:r>
      </w:hyperlink>
      <w:r>
        <w:rPr>
          <w:rtl w:val="true"/>
        </w:rPr>
        <w:t xml:space="preserve"> </w:t>
      </w:r>
      <w:r>
        <w:rPr>
          <w:rtl w:val="true"/>
        </w:rPr>
        <w:t>קריה נ</w:t>
      </w:r>
      <w:r>
        <w:rPr>
          <w:rtl w:val="true"/>
        </w:rPr>
        <w:t xml:space="preserve">. </w:t>
      </w:r>
      <w:r>
        <w:rPr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 כל אלה וכאשר השיקול השיקומי</w:t>
      </w:r>
      <w:r>
        <w:rPr>
          <w:rtl w:val="true"/>
        </w:rPr>
        <w:t xml:space="preserve">, </w:t>
      </w:r>
      <w:r>
        <w:rPr>
          <w:rtl w:val="true"/>
        </w:rPr>
        <w:t>שדרך כלל הוא השיקול הדומיננטי כאשר מדובר בנאשם קטין</w:t>
      </w:r>
      <w:r>
        <w:rPr>
          <w:rtl w:val="true"/>
        </w:rPr>
        <w:t xml:space="preserve">, </w:t>
      </w:r>
      <w:r>
        <w:rPr>
          <w:rtl w:val="true"/>
        </w:rPr>
        <w:t>אינו עומד על הפרק בעניינו של הנאשם עסקינן</w:t>
      </w:r>
      <w:r>
        <w:rPr>
          <w:rtl w:val="true"/>
        </w:rPr>
        <w:t xml:space="preserve">, </w:t>
      </w:r>
      <w:r>
        <w:rPr>
          <w:rtl w:val="true"/>
        </w:rPr>
        <w:t>כך שיש ליתן בכורה לשיקולי הגמול וההרתעה</w:t>
      </w:r>
      <w:r>
        <w:rPr>
          <w:rtl w:val="true"/>
        </w:rPr>
        <w:t xml:space="preserve">, </w:t>
      </w:r>
      <w:r>
        <w:rPr>
          <w:rtl w:val="true"/>
        </w:rPr>
        <w:t>מן הראוי להחמיר בעונשו של הנאשם וזאת בשים לב להתרשמותה של קצינת המבחן</w:t>
      </w:r>
      <w:r>
        <w:rPr>
          <w:rtl w:val="true"/>
        </w:rPr>
        <w:t xml:space="preserve">, </w:t>
      </w:r>
      <w:r>
        <w:rPr>
          <w:rtl w:val="true"/>
        </w:rPr>
        <w:t>כי ללא טיפול מתאים הסיכון לביצוע עבירות נוספות על ידי הנאשם הינו 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לצד חומרת העבירות ולצד השיקול ההרתעתי שיש להידרש להם כאמור</w:t>
      </w:r>
      <w:r>
        <w:rPr>
          <w:rtl w:val="true"/>
        </w:rPr>
        <w:t xml:space="preserve">, </w:t>
      </w:r>
      <w:r>
        <w:rPr>
          <w:rtl w:val="true"/>
        </w:rPr>
        <w:t>קיימים במקרה דנן שיקולים לקולא שמן הראוי להביאם בחשבון במסגרת האיזון שיש לערוך בעת גזירת עונשו של הנאשם</w:t>
      </w:r>
      <w:r>
        <w:rPr>
          <w:rtl w:val="true"/>
        </w:rPr>
        <w:t xml:space="preserve">; </w:t>
      </w:r>
      <w:r>
        <w:rPr>
          <w:rtl w:val="true"/>
        </w:rPr>
        <w:t>מדובר בנאשם צעיר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 גדל בתנאים קשים</w:t>
      </w:r>
      <w:r>
        <w:rPr>
          <w:rtl w:val="true"/>
        </w:rPr>
        <w:t xml:space="preserve">, </w:t>
      </w:r>
      <w:r>
        <w:rPr>
          <w:rtl w:val="true"/>
        </w:rPr>
        <w:t>הסובל מגמגום כבד</w:t>
      </w:r>
      <w:r>
        <w:rPr>
          <w:rtl w:val="true"/>
        </w:rPr>
        <w:t xml:space="preserve">, </w:t>
      </w:r>
      <w:r>
        <w:rPr>
          <w:rtl w:val="true"/>
        </w:rPr>
        <w:t>אשר היה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קורבן לאלימות תמידית מצד ילדי השכנים ואשר חווה בדידות רגשית וחברתית</w:t>
      </w:r>
      <w:r>
        <w:rPr>
          <w:rtl w:val="true"/>
        </w:rPr>
        <w:t xml:space="preserve">. </w:t>
      </w:r>
      <w:r>
        <w:rPr>
          <w:rtl w:val="true"/>
        </w:rPr>
        <w:t>קצינת המבחן לא התרשמה</w:t>
      </w:r>
      <w:r>
        <w:rPr>
          <w:rtl w:val="true"/>
        </w:rPr>
        <w:t xml:space="preserve">, </w:t>
      </w:r>
      <w:r>
        <w:rPr>
          <w:rtl w:val="true"/>
        </w:rPr>
        <w:t>כי מדובר באדם בעל קווי אישיות תוקפניים ואלימים אשר יזום פגיעה באחר ולא התרשמה מקיומם של דפוסים עבריינים מושרשים אצלו חרף מעורבותו החוזרת בפלילים</w:t>
      </w:r>
      <w:r>
        <w:rPr>
          <w:rtl w:val="true"/>
        </w:rPr>
        <w:t xml:space="preserve">, </w:t>
      </w:r>
      <w:r>
        <w:rPr>
          <w:rtl w:val="true"/>
        </w:rPr>
        <w:t>בהדגישה</w:t>
      </w:r>
      <w:r>
        <w:rPr>
          <w:rtl w:val="true"/>
        </w:rPr>
        <w:t xml:space="preserve">, </w:t>
      </w:r>
      <w:r>
        <w:rPr>
          <w:rtl w:val="true"/>
        </w:rPr>
        <w:t>כי הנאשם חשוף לחברה עבריינית דומיננטית והינו קורבן לסכסוך אלים וממושך בין משפחתו למשפחה אחרת</w:t>
      </w:r>
      <w:r>
        <w:rPr>
          <w:rtl w:val="true"/>
        </w:rPr>
        <w:t xml:space="preserve">. </w:t>
      </w:r>
      <w:r>
        <w:rPr>
          <w:rtl w:val="true"/>
        </w:rPr>
        <w:t>הנאשם הודה בכתבי האישום בטרם שמיעת ראיות</w:t>
      </w:r>
      <w:r>
        <w:rPr>
          <w:rtl w:val="true"/>
        </w:rPr>
        <w:t xml:space="preserve">, </w:t>
      </w:r>
      <w:r>
        <w:rPr>
          <w:rtl w:val="true"/>
        </w:rPr>
        <w:t>אין לחובתו הרשעות קודמות</w:t>
      </w:r>
      <w:r>
        <w:rPr>
          <w:rtl w:val="true"/>
        </w:rPr>
        <w:t xml:space="preserve">; </w:t>
      </w:r>
      <w:r>
        <w:rPr>
          <w:rtl w:val="true"/>
        </w:rPr>
        <w:t>הוא הביע צער וחרטה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עיננו הרואות</w:t>
      </w:r>
      <w:r>
        <w:rPr>
          <w:rtl w:val="true"/>
        </w:rPr>
        <w:t xml:space="preserve">, </w:t>
      </w:r>
      <w:r>
        <w:rPr>
          <w:rtl w:val="true"/>
        </w:rPr>
        <w:t>כי על הפרק עומדים שיקולים לחומרה ושיקולים לקולא ומלאכת האיזון ביניהם אינה קלה</w:t>
      </w:r>
      <w:r>
        <w:rPr>
          <w:rtl w:val="true"/>
        </w:rPr>
        <w:t xml:space="preserve">; </w:t>
      </w:r>
      <w:r>
        <w:rPr>
          <w:rtl w:val="true"/>
        </w:rPr>
        <w:t>כפי שעולה מהאסמכתאות הרבות אליהן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בתי המשפט הקלו בענישתם של נאשמים צעירים ואף הסתפקו בענישה שלא כללה רכיב של מאסר בפועל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הענישה היא אינדיבידואלית</w:t>
      </w:r>
      <w:r>
        <w:rPr>
          <w:rtl w:val="true"/>
        </w:rPr>
        <w:t xml:space="preserve">. </w:t>
      </w:r>
      <w:r>
        <w:rPr>
          <w:rtl w:val="true"/>
        </w:rPr>
        <w:t>כל מקרה ונסיבותיו</w:t>
      </w:r>
      <w:r>
        <w:rPr>
          <w:rtl w:val="true"/>
        </w:rPr>
        <w:t>. "</w:t>
      </w:r>
      <w:r>
        <w:rPr>
          <w:rtl w:val="true"/>
        </w:rPr>
        <w:t>אין לכחד</w:t>
      </w:r>
      <w:r>
        <w:rPr>
          <w:rtl w:val="true"/>
        </w:rPr>
        <w:t xml:space="preserve">, </w:t>
      </w:r>
      <w:r>
        <w:rPr>
          <w:rtl w:val="true"/>
        </w:rPr>
        <w:t>כי קשת הענישה רחבה היא</w:t>
      </w:r>
      <w:r>
        <w:rPr>
          <w:rtl w:val="true"/>
        </w:rPr>
        <w:t xml:space="preserve">, </w:t>
      </w:r>
      <w:r>
        <w:rPr>
          <w:rtl w:val="true"/>
        </w:rPr>
        <w:t>וכמעט אין לך תחום שלא תמצא בו עונשים חמורים יותר וקלים יותר</w:t>
      </w:r>
      <w:r>
        <w:rPr>
          <w:rtl w:val="true"/>
        </w:rPr>
        <w:t xml:space="preserve">, </w:t>
      </w:r>
      <w:r>
        <w:rPr>
          <w:rtl w:val="true"/>
        </w:rPr>
        <w:t>על פי הזמן והמקום</w:t>
      </w:r>
      <w:r>
        <w:rPr>
          <w:rtl w:val="true"/>
        </w:rPr>
        <w:t>" (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2163/05</w:t>
        </w:r>
      </w:hyperlink>
      <w:r>
        <w:rPr>
          <w:rtl w:val="true"/>
        </w:rPr>
        <w:t xml:space="preserve"> </w:t>
      </w:r>
      <w:r>
        <w:rPr>
          <w:rtl w:val="true"/>
        </w:rPr>
        <w:t>דג</w:t>
      </w:r>
      <w:r>
        <w:rPr>
          <w:rtl w:val="true"/>
        </w:rPr>
        <w:t>'</w:t>
      </w:r>
      <w:r>
        <w:rPr>
          <w:rtl w:val="true"/>
        </w:rPr>
        <w:t>מיל אלייב 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 xml:space="preserve">). </w:t>
      </w:r>
      <w:r>
        <w:rPr>
          <w:rtl w:val="true"/>
        </w:rPr>
        <w:t>בית המשפט אמור לגזור את דינו של הנאשם לפי הנסיבות המיוחדות של המקרה העומד לפניו</w:t>
      </w:r>
      <w:r>
        <w:rPr>
          <w:rtl w:val="true"/>
        </w:rPr>
        <w:t xml:space="preserve">, </w:t>
      </w:r>
      <w:r>
        <w:rPr>
          <w:rtl w:val="true"/>
        </w:rPr>
        <w:t>תוך איזון ראוי בין האינטרס הציבורי של גמול והרתעה לבין 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העונש אשר מוטל בסופו של דבר על הנאשם אינו אלא תוצאה משוקללת של שיקולי הענישה השונים שיש להביאם בחשבון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212/79</w:t>
        </w:r>
      </w:hyperlink>
      <w:r>
        <w:rPr>
          <w:rtl w:val="true"/>
        </w:rPr>
        <w:t xml:space="preserve"> </w:t>
      </w:r>
      <w:r>
        <w:rPr>
          <w:rtl w:val="true"/>
        </w:rPr>
        <w:t>פלוני נ</w:t>
      </w:r>
      <w:r>
        <w:rPr>
          <w:rtl w:val="true"/>
        </w:rPr>
        <w:t xml:space="preserve">' </w:t>
      </w:r>
      <w:r>
        <w:rPr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בנסיבותיו הקונקרטיות של מקרה דנן</w:t>
      </w:r>
      <w:r>
        <w:rPr>
          <w:rtl w:val="true"/>
        </w:rPr>
        <w:t xml:space="preserve">, </w:t>
      </w:r>
      <w:r>
        <w:rPr>
          <w:rtl w:val="true"/>
        </w:rPr>
        <w:t>ובהינתן נסיבותיו האישיות החריגות של הנאשם</w:t>
      </w:r>
      <w:r>
        <w:rPr>
          <w:rtl w:val="true"/>
        </w:rPr>
        <w:t xml:space="preserve">, </w:t>
      </w:r>
      <w:r>
        <w:rPr>
          <w:rtl w:val="true"/>
        </w:rPr>
        <w:t>החלטתי שלא למצות עמו את הדין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 ששקלתי את השיקולים לקולא ולחומרה</w:t>
      </w:r>
      <w:r>
        <w:rPr>
          <w:rtl w:val="true"/>
        </w:rPr>
        <w:t xml:space="preserve">, </w:t>
      </w:r>
      <w:r>
        <w:rPr>
          <w:rtl w:val="true"/>
        </w:rPr>
        <w:t xml:space="preserve">הנני להרשיע את הנאשם בעבירות אשר יוחסו לו בשני כתבי האישום שהוגשו נגדו בבית המשפט לנוער בנצרת ולגזור עליו </w:t>
      </w:r>
      <w:r>
        <w:rPr>
          <w:rtl w:val="true"/>
        </w:rPr>
        <w:t>(</w:t>
      </w:r>
      <w:r>
        <w:rPr>
          <w:rtl w:val="true"/>
        </w:rPr>
        <w:t>בגין שלושת כתבי האישום</w:t>
      </w:r>
      <w:r>
        <w:rPr>
          <w:rtl w:val="true"/>
        </w:rPr>
        <w:t xml:space="preserve">) </w:t>
      </w:r>
      <w:r>
        <w:rPr>
          <w:rtl w:val="true"/>
        </w:rPr>
        <w:t>את העונשים 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החל מיום מעצרו </w:t>
      </w:r>
      <w:r>
        <w:rPr>
          <w:rtl w:val="true"/>
        </w:rPr>
        <w:t>(</w:t>
      </w:r>
      <w:r>
        <w:rPr/>
        <w:t>17.9.11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שנתיים והתנאי הוא שלא יעבור עבירה לפי </w:t>
      </w:r>
      <w:hyperlink r:id="rId32">
        <w:r>
          <w:rPr>
            <w:rStyle w:val="Hyperlink"/>
            <w:color w:val="0000FF"/>
            <w:u w:val="single"/>
            <w:rtl w:val="true"/>
          </w:rPr>
          <w:t xml:space="preserve">סעיף   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hyperlink r:id="rId33">
        <w:r>
          <w:rPr>
            <w:rStyle w:val="Hyperlink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3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או עבירת אלימות מסוג 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שנתיים והתנאי הוא שלא יעבור עבירה לפי </w:t>
      </w:r>
      <w:hyperlink r:id="rId3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</w:t>
      </w:r>
      <w:hyperlink r:id="rId36">
        <w:r>
          <w:rPr>
            <w:rStyle w:val="Hyperlink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3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 עבירת אלימות מסוג עוון או עבירה נגד 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תשלום פיצוי למתלונן ע</w:t>
      </w:r>
      <w:r>
        <w:rPr>
          <w:rtl w:val="true"/>
        </w:rPr>
        <w:t>"</w:t>
      </w:r>
      <w:r>
        <w:rPr>
          <w:rtl w:val="true"/>
        </w:rPr>
        <w:t>ז ב</w:t>
      </w:r>
      <w:hyperlink r:id="rId3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2202-07-09</w:t>
        </w:r>
      </w:hyperlink>
      <w:r>
        <w:rPr>
          <w:rtl w:val="true"/>
        </w:rPr>
        <w:t xml:space="preserve"> (</w:t>
      </w:r>
      <w:r>
        <w:rPr>
          <w:rtl w:val="true"/>
        </w:rPr>
        <w:t>שהוגש לבית משפט שלום לנוער בנצרת וצורף לתיק זה</w:t>
      </w:r>
      <w:r>
        <w:rPr>
          <w:rtl w:val="true"/>
        </w:rPr>
        <w:t xml:space="preserve">) </w:t>
      </w:r>
      <w:r>
        <w:rPr>
          <w:rtl w:val="true"/>
        </w:rPr>
        <w:t xml:space="preserve">בסך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 xml:space="preserve">סכום הפיצוי ישולם לא יאוחר מחלוף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מיום שחרורו של 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 הדין הוסבר לנאשם בשפה הערבית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25/03/2012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שאהר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אטרש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#7#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המאשימה תגיש בקשה רלוונטית לעניין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25/03/2012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שאהר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אטרש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49708-09-11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מועאד בן סעיד חוסיני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3" TargetMode="External"/><Relationship Id="rId6" Type="http://schemas.openxmlformats.org/officeDocument/2006/relationships/hyperlink" Target="http://www.nevo.co.il/law/70301/288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912009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4820785" TargetMode="External"/><Relationship Id="rId20" Type="http://schemas.openxmlformats.org/officeDocument/2006/relationships/hyperlink" Target="http://www.nevo.co.il/law/70301/28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273" TargetMode="External"/><Relationship Id="rId23" Type="http://schemas.openxmlformats.org/officeDocument/2006/relationships/hyperlink" Target="http://www.nevo.co.il/case/5703734" TargetMode="External"/><Relationship Id="rId24" Type="http://schemas.openxmlformats.org/officeDocument/2006/relationships/hyperlink" Target="http://www.nevo.co.il/case/6034921" TargetMode="External"/><Relationship Id="rId25" Type="http://schemas.openxmlformats.org/officeDocument/2006/relationships/hyperlink" Target="http://www.nevo.co.il/case/5821327" TargetMode="External"/><Relationship Id="rId26" Type="http://schemas.openxmlformats.org/officeDocument/2006/relationships/hyperlink" Target="http://www.nevo.co.il/case/6056840" TargetMode="External"/><Relationship Id="rId27" Type="http://schemas.openxmlformats.org/officeDocument/2006/relationships/hyperlink" Target="http://www.nevo.co.il/case/6237001" TargetMode="External"/><Relationship Id="rId28" Type="http://schemas.openxmlformats.org/officeDocument/2006/relationships/hyperlink" Target="http://www.nevo.co.il/case/6237558" TargetMode="External"/><Relationship Id="rId29" Type="http://schemas.openxmlformats.org/officeDocument/2006/relationships/hyperlink" Target="http://www.nevo.co.il/case/6021937" TargetMode="External"/><Relationship Id="rId30" Type="http://schemas.openxmlformats.org/officeDocument/2006/relationships/hyperlink" Target="http://www.nevo.co.il/case/5815848" TargetMode="External"/><Relationship Id="rId31" Type="http://schemas.openxmlformats.org/officeDocument/2006/relationships/hyperlink" Target="http://www.nevo.co.il/case/17914714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912009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2016-03-21T10:00:00Z</dcterms:created>
  <dc:creator> </dc:creator>
  <dc:description/>
  <cp:keywords/>
  <dc:language>en-IL</dc:language>
  <cp:lastModifiedBy>hofit</cp:lastModifiedBy>
  <dcterms:modified xsi:type="dcterms:W3CDTF">2016-03-21T10:00:00Z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מועאד בן סעיד חוסיני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5912009:2;4820785;5703734;6034921;5821327;6056840;6237001;6237558;6021937;5815848;17914714</vt:lpwstr>
  </property>
  <property fmtid="{D5CDD505-2E9C-101B-9397-08002B2CF9AE}" pid="9" name="CITY">
    <vt:lpwstr>נצ'</vt:lpwstr>
  </property>
  <property fmtid="{D5CDD505-2E9C-101B-9397-08002B2CF9AE}" pid="10" name="DATE">
    <vt:lpwstr>20120325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שאהר אטרש</vt:lpwstr>
  </property>
  <property fmtid="{D5CDD505-2E9C-101B-9397-08002B2CF9AE}" pid="14" name="LAWLISTTMP1">
    <vt:lpwstr>70301/144.a:4;144.b:4;333;335.a.1;288;273</vt:lpwstr>
  </property>
  <property fmtid="{D5CDD505-2E9C-101B-9397-08002B2CF9AE}" pid="15" name="LAWYER">
    <vt:lpwstr>רז ולטר;ראפי מסאלחה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49708</vt:lpwstr>
  </property>
  <property fmtid="{D5CDD505-2E9C-101B-9397-08002B2CF9AE}" pid="22" name="NEWPARTB">
    <vt:lpwstr>09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390020120325</vt:lpwstr>
  </property>
  <property fmtid="{D5CDD505-2E9C-101B-9397-08002B2CF9AE}" pid="34" name="TYPE_N_DATE">
    <vt:lpwstr>39020120325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