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50033-05-11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עמר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 מרדכי לוי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ביטון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מרדכי עמר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על ידי 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 מנחם רובינשטיין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2"/>
        <w:ind w:end="0"/>
        <w:jc w:val="start"/>
        <w:rPr/>
      </w:pPr>
      <w:r>
        <w:rPr>
          <w:rtl w:val="true"/>
        </w:rPr>
        <w:t>כללי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על פי הודאתו שניתנה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בעבירות של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ירי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ומעשה פזיזות ורשלנות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bookmarkStart w:id="8" w:name="ABSTRACT_END"/>
      <w:bookmarkEnd w:id="8"/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הסדר הטיעון עם הנאשם התייחס לתיקון כתב האישום המקורי בלבד בלא הסכמה לעניין העונש</w:t>
      </w:r>
      <w:r>
        <w:rPr>
          <w:rtl w:val="true"/>
        </w:rPr>
        <w:t xml:space="preserve">. </w:t>
      </w:r>
      <w:r>
        <w:rPr>
          <w:rtl w:val="true"/>
        </w:rPr>
        <w:t>כמו כן הוסכם כי יוגש תסקיר של שירות המבחן אודות הנאשם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להלן יפורטו העובדות של כתב האישום המתוקן שבהן הודה הנאשם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בין בנו של הנאשם לבין ד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היה קיים סכסוך</w:t>
      </w:r>
      <w:r>
        <w:rPr>
          <w:rtl w:val="true"/>
        </w:rPr>
        <w:t xml:space="preserve">. </w:t>
      </w:r>
      <w:r>
        <w:rPr>
          <w:rtl w:val="true"/>
        </w:rPr>
        <w:t xml:space="preserve">בסוף חודש אפריל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 xml:space="preserve">או בסמוך לכך נכנס הנאשם לחנות בנתיבות ואמר לחברו של המתלונן שהמתלונן </w:t>
      </w:r>
      <w:r>
        <w:rPr>
          <w:rtl w:val="true"/>
        </w:rPr>
        <w:t>"</w:t>
      </w:r>
      <w:r>
        <w:rPr>
          <w:rtl w:val="true"/>
        </w:rPr>
        <w:t>לא רוצה להרגע</w:t>
      </w:r>
      <w:r>
        <w:rPr>
          <w:rtl w:val="true"/>
        </w:rPr>
        <w:t xml:space="preserve">", </w:t>
      </w:r>
      <w:r>
        <w:rPr>
          <w:rtl w:val="true"/>
        </w:rPr>
        <w:t xml:space="preserve">עד שהנאשם </w:t>
      </w:r>
      <w:r>
        <w:rPr>
          <w:rtl w:val="true"/>
        </w:rPr>
        <w:t>"</w:t>
      </w:r>
      <w:r>
        <w:rPr>
          <w:rtl w:val="true"/>
        </w:rPr>
        <w:t>ידקור אותו יום אחד</w:t>
      </w:r>
      <w:r>
        <w:rPr>
          <w:rtl w:val="true"/>
        </w:rPr>
        <w:t xml:space="preserve">". </w:t>
      </w:r>
      <w:r>
        <w:rPr>
          <w:rtl w:val="true"/>
        </w:rPr>
        <w:t>בהמשך סיפר החבר למתלונן את שאמר לו הנאשם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 xml:space="preserve">ביום </w:t>
      </w:r>
      <w:r>
        <w:rPr/>
        <w:t>11/5/11</w:t>
      </w:r>
      <w:r>
        <w:rPr>
          <w:rtl w:val="true"/>
        </w:rPr>
        <w:t xml:space="preserve"> </w:t>
      </w:r>
      <w:r>
        <w:rPr>
          <w:rtl w:val="true"/>
        </w:rPr>
        <w:t xml:space="preserve">בסביבות השעה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נפגשו באקראי המתלונן וחבריו עם הנאשם</w:t>
      </w:r>
      <w:r>
        <w:rPr>
          <w:rtl w:val="true"/>
        </w:rPr>
        <w:t xml:space="preserve">. </w:t>
      </w:r>
      <w:r>
        <w:rPr>
          <w:rtl w:val="true"/>
        </w:rPr>
        <w:t>המתלונן השליך פחית שתייה ריקה על הרצפה אשר פגעה בגלגל רכבו של הנאשם</w:t>
      </w:r>
      <w:r>
        <w:rPr>
          <w:rtl w:val="true"/>
        </w:rPr>
        <w:t xml:space="preserve">. </w:t>
      </w:r>
      <w:r>
        <w:rPr>
          <w:rtl w:val="true"/>
        </w:rPr>
        <w:t>הנאשם ניגש אל הרכב שבו היו המתלונן וחבריו</w:t>
      </w:r>
      <w:r>
        <w:rPr>
          <w:rtl w:val="true"/>
        </w:rPr>
        <w:t xml:space="preserve">, </w:t>
      </w:r>
      <w:r>
        <w:rPr>
          <w:rtl w:val="true"/>
        </w:rPr>
        <w:t>ושאל אותם מי השליך את הפחית על רכבו</w:t>
      </w:r>
      <w:r>
        <w:rPr>
          <w:rtl w:val="true"/>
        </w:rPr>
        <w:t xml:space="preserve">. </w:t>
      </w:r>
      <w:r>
        <w:rPr>
          <w:rtl w:val="true"/>
        </w:rPr>
        <w:t>המתלונן השיב שהוא השליך את הפחית על רכבו של הנאשם</w:t>
      </w:r>
      <w:r>
        <w:rPr>
          <w:rtl w:val="true"/>
        </w:rPr>
        <w:t xml:space="preserve">, </w:t>
      </w:r>
      <w:r>
        <w:rPr>
          <w:rtl w:val="true"/>
        </w:rPr>
        <w:t>ובמקום התפתח ויכוח בין המתלונן לנאשם</w:t>
      </w:r>
      <w:r>
        <w:rPr>
          <w:rtl w:val="true"/>
        </w:rPr>
        <w:t xml:space="preserve">. </w:t>
      </w:r>
      <w:r>
        <w:rPr>
          <w:rtl w:val="true"/>
        </w:rPr>
        <w:t>הנאשם אמר למתלונן שהוא הולך להביא סיגריות לאשתו</w:t>
      </w:r>
      <w:r>
        <w:rPr>
          <w:rtl w:val="true"/>
        </w:rPr>
        <w:t xml:space="preserve">, </w:t>
      </w:r>
      <w:r>
        <w:rPr>
          <w:rtl w:val="true"/>
        </w:rPr>
        <w:t>ושהמתלונן יגיד לו היכן הוא יהיה אחר כך</w:t>
      </w:r>
      <w:r>
        <w:rPr>
          <w:rtl w:val="true"/>
        </w:rPr>
        <w:t xml:space="preserve">, </w:t>
      </w:r>
      <w:r>
        <w:rPr>
          <w:rtl w:val="true"/>
        </w:rPr>
        <w:t>כי הנאשם רוצה להגיע ו</w:t>
      </w:r>
      <w:r>
        <w:rPr>
          <w:rtl w:val="true"/>
        </w:rPr>
        <w:t>"</w:t>
      </w:r>
      <w:r>
        <w:rPr>
          <w:rtl w:val="true"/>
        </w:rPr>
        <w:t>לסגור איתו חשבון</w:t>
      </w:r>
      <w:r>
        <w:rPr>
          <w:rtl w:val="true"/>
        </w:rPr>
        <w:t xml:space="preserve">". </w:t>
      </w:r>
      <w:r>
        <w:rPr>
          <w:rtl w:val="true"/>
        </w:rPr>
        <w:t>המתלונן אמר לנאשם שהוא יחכה לו בבית הקברות</w:t>
      </w:r>
      <w:r>
        <w:rPr>
          <w:rtl w:val="true"/>
        </w:rPr>
        <w:t xml:space="preserve">. </w:t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 xml:space="preserve">בסמוך לאחר מכן נסעו המתלונן וחבריו לכיוון ביתו של אחד מהחברים ברחוב הזית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בנתיבות</w:t>
      </w:r>
      <w:r>
        <w:rPr>
          <w:rtl w:val="true"/>
        </w:rPr>
        <w:t xml:space="preserve">. </w:t>
      </w:r>
      <w:r>
        <w:rPr>
          <w:rtl w:val="true"/>
        </w:rPr>
        <w:t xml:space="preserve">בסמוך לפני השעה </w:t>
      </w:r>
      <w:r>
        <w:rPr/>
        <w:t>23:00</w:t>
      </w:r>
      <w:r>
        <w:rPr>
          <w:rtl w:val="true"/>
        </w:rPr>
        <w:t xml:space="preserve">, </w:t>
      </w:r>
      <w:r>
        <w:rPr>
          <w:rtl w:val="true"/>
        </w:rPr>
        <w:t xml:space="preserve">ברחוב הזית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עמד המתלונן על המדרכה עם חברו א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 xml:space="preserve">., </w:t>
      </w:r>
      <w:r>
        <w:rPr>
          <w:rtl w:val="true"/>
        </w:rPr>
        <w:t>לצד רכבו של א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 xml:space="preserve">., </w:t>
      </w:r>
      <w:r>
        <w:rPr>
          <w:rtl w:val="true"/>
        </w:rPr>
        <w:t>כשא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יושב בתוך הרכב במושב הנוסע הקדמי</w:t>
      </w:r>
      <w:r>
        <w:rPr>
          <w:rtl w:val="true"/>
        </w:rPr>
        <w:t xml:space="preserve">. </w:t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לפתע הגיע למקום הנאשם ברכבו מסוג הונדה 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5966557</w:t>
      </w:r>
      <w:r>
        <w:rPr>
          <w:rtl w:val="true"/>
        </w:rPr>
        <w:t xml:space="preserve">. </w:t>
      </w:r>
      <w:r>
        <w:rPr>
          <w:rtl w:val="true"/>
        </w:rPr>
        <w:t>הנאשם נעמד עם רכבו במקביל לרכב של 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., </w:t>
      </w:r>
      <w:r>
        <w:rPr>
          <w:rtl w:val="true"/>
        </w:rPr>
        <w:t>קרא לעבר המתלונן לבוא לבית הקברות</w:t>
      </w:r>
      <w:r>
        <w:rPr>
          <w:rtl w:val="true"/>
        </w:rPr>
        <w:t xml:space="preserve">, </w:t>
      </w:r>
      <w:r>
        <w:rPr>
          <w:rtl w:val="true"/>
        </w:rPr>
        <w:t>שלף אקדח וירה מתוך הרכב כמה יריות</w:t>
      </w:r>
      <w:r>
        <w:rPr>
          <w:rtl w:val="true"/>
        </w:rPr>
        <w:t xml:space="preserve">, </w:t>
      </w:r>
      <w:r>
        <w:rPr>
          <w:rtl w:val="true"/>
        </w:rPr>
        <w:t>אשר חלקן פגעו בחלק האחורי של הרכב</w:t>
      </w:r>
      <w:r>
        <w:rPr>
          <w:rtl w:val="true"/>
        </w:rPr>
        <w:t xml:space="preserve">, </w:t>
      </w:r>
      <w:r>
        <w:rPr>
          <w:rtl w:val="true"/>
        </w:rPr>
        <w:t>ובהמשך נסע מן המקום</w:t>
      </w:r>
      <w:r>
        <w:rPr>
          <w:rtl w:val="true"/>
        </w:rPr>
        <w:t xml:space="preserve">. </w:t>
      </w:r>
      <w:r>
        <w:rPr>
          <w:rtl w:val="true"/>
        </w:rPr>
        <w:t>רכבו של 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נפגע מפגיעת קליעים אחדים בחלק האחורי הצדדי</w:t>
      </w:r>
      <w:r>
        <w:rPr>
          <w:rtl w:val="true"/>
        </w:rPr>
        <w:t xml:space="preserve">, </w:t>
      </w:r>
      <w:r>
        <w:rPr>
          <w:rtl w:val="true"/>
        </w:rPr>
        <w:t>והחלון והשמשה האחוריים נופצו עקב כך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 פי תסקיר שירות המבחן שהוגש לגבי הנאשם</w:t>
      </w:r>
      <w:r>
        <w:rPr>
          <w:rtl w:val="true"/>
        </w:rPr>
        <w:t xml:space="preserve">, </w:t>
      </w:r>
      <w:r>
        <w:rPr>
          <w:rtl w:val="true"/>
        </w:rPr>
        <w:t xml:space="preserve">הנאשם הוא בן </w:t>
      </w:r>
      <w:r>
        <w:rPr/>
        <w:t>51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 לשלושה וסב לנכד</w:t>
      </w:r>
      <w:r>
        <w:rPr>
          <w:rtl w:val="true"/>
        </w:rPr>
        <w:t xml:space="preserve">. </w:t>
      </w:r>
      <w:r>
        <w:rPr>
          <w:rtl w:val="true"/>
        </w:rPr>
        <w:t>עד מעצרו עבד בתור טכנאי קירור עצמאי</w:t>
      </w:r>
      <w:r>
        <w:rPr>
          <w:rtl w:val="true"/>
        </w:rPr>
        <w:t xml:space="preserve">. </w:t>
      </w:r>
      <w:r>
        <w:rPr>
          <w:rtl w:val="true"/>
        </w:rPr>
        <w:t xml:space="preserve">הנאשם נשפט בעבר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פעמים מתוכן בגין עבירות אלימות</w:t>
      </w:r>
      <w:r>
        <w:rPr>
          <w:rtl w:val="true"/>
        </w:rPr>
        <w:t xml:space="preserve">, </w:t>
      </w:r>
      <w:r>
        <w:rPr>
          <w:rtl w:val="true"/>
        </w:rPr>
        <w:t>חלקן אלימות כלפי בת הזוג</w:t>
      </w:r>
      <w:r>
        <w:rPr>
          <w:rtl w:val="true"/>
        </w:rPr>
        <w:t>.</w:t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הנאשם קיבל על עצמו אחריות בגין חלקו בעבירות</w:t>
      </w:r>
      <w:r>
        <w:rPr>
          <w:rtl w:val="true"/>
        </w:rPr>
        <w:t xml:space="preserve">. </w:t>
      </w:r>
      <w:r>
        <w:rPr>
          <w:rtl w:val="true"/>
        </w:rPr>
        <w:t>הנאשם הסביר את התנהגותו התוקפנית</w:t>
      </w:r>
      <w:r>
        <w:rPr>
          <w:rtl w:val="true"/>
        </w:rPr>
        <w:t xml:space="preserve">, </w:t>
      </w:r>
      <w:r>
        <w:rPr>
          <w:rtl w:val="true"/>
        </w:rPr>
        <w:t>בכך שהיה נסער מהתנהגותם המתריסה של המתלונן ושל חבריו</w:t>
      </w:r>
      <w:r>
        <w:rPr>
          <w:rtl w:val="true"/>
        </w:rPr>
        <w:t xml:space="preserve">, </w:t>
      </w:r>
      <w:r>
        <w:rPr>
          <w:rtl w:val="true"/>
        </w:rPr>
        <w:t>על רקע הסכסוך המתמשך בין המתלונן לבין בנו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כיום הוא מבין כי היה עליו לפנות לרשויות</w:t>
      </w:r>
      <w:r>
        <w:rPr>
          <w:rtl w:val="true"/>
        </w:rPr>
        <w:t xml:space="preserve">. </w:t>
      </w:r>
      <w:r>
        <w:rPr>
          <w:rtl w:val="true"/>
        </w:rPr>
        <w:t>הוא מביע צער וחרטה על דרך טיפולו בבעיה מול המתלונן</w:t>
      </w:r>
      <w:r>
        <w:rPr>
          <w:rtl w:val="true"/>
        </w:rPr>
        <w:t>.</w:t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הנאשם תיאר בזעזוע את תקופת מעצרו</w:t>
      </w:r>
      <w:r>
        <w:rPr>
          <w:rtl w:val="true"/>
        </w:rPr>
        <w:t xml:space="preserve">, </w:t>
      </w:r>
      <w:r>
        <w:rPr>
          <w:rtl w:val="true"/>
        </w:rPr>
        <w:t>למשך למעלה מ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כשהוא רחוק מבני משפחתו וחשוף לדמויות בעלות דפוסי התנהגות עבריינית</w:t>
      </w:r>
      <w:r>
        <w:rPr>
          <w:rtl w:val="true"/>
        </w:rPr>
        <w:t xml:space="preserve">. </w:t>
      </w:r>
      <w:r>
        <w:rPr>
          <w:rtl w:val="true"/>
        </w:rPr>
        <w:t>לאחר תקופת המעצר שוהה הנאשם בחלופת מעצר בבית אחיו בתנאי איזוק אלקטרוני</w:t>
      </w:r>
      <w:r>
        <w:rPr>
          <w:rtl w:val="true"/>
        </w:rPr>
        <w:t xml:space="preserve">. </w:t>
      </w:r>
      <w:r>
        <w:rPr>
          <w:rtl w:val="true"/>
        </w:rPr>
        <w:t>הוא חש חוסר נוחות מהיותו נטל על כלכלת הבית ועל השגרה המשפחתית בבית האח</w:t>
      </w:r>
      <w:r>
        <w:rPr>
          <w:rtl w:val="true"/>
        </w:rPr>
        <w:t>.</w:t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שירות המבחן ציין כי כלכלת המשפחה נפגעה באורח חמור בשל מעצרו הממושך של הנאשם</w:t>
      </w:r>
      <w:r>
        <w:rPr>
          <w:rtl w:val="true"/>
        </w:rPr>
        <w:t xml:space="preserve">, </w:t>
      </w:r>
      <w:r>
        <w:rPr>
          <w:rtl w:val="true"/>
        </w:rPr>
        <w:t>וכי בני הזוג מצויים בחובות</w:t>
      </w:r>
      <w:r>
        <w:rPr>
          <w:rtl w:val="true"/>
        </w:rPr>
        <w:t>.</w:t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שירות המבחן התרשם כי מדובר באדם בעל משפחה יציבה ובעל כישורים תפקודיים נאותים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במצבי לחץ וקונפליקט נוטה הנאשם להתרתח ולפעול בתוקפנות</w:t>
      </w:r>
      <w:r>
        <w:rPr>
          <w:rtl w:val="true"/>
        </w:rPr>
        <w:t xml:space="preserve">, </w:t>
      </w:r>
      <w:r>
        <w:rPr>
          <w:rtl w:val="true"/>
        </w:rPr>
        <w:t>ושיקול הדעת שלו משתבש באורח חמור</w:t>
      </w:r>
      <w:r>
        <w:rPr>
          <w:rtl w:val="true"/>
        </w:rPr>
        <w:t xml:space="preserve">. </w:t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בשקלול חומרתן של העבירות מצד אחד ותקופת המעצר הממושכת ותפקודו התקין של הנאשם בדרך כלל מצד שני – הומלץ כי אם תוטל תקופת מאסר נוספת היא תרוצה בעבודות שירות</w:t>
      </w:r>
      <w:r>
        <w:rPr>
          <w:rtl w:val="true"/>
        </w:rPr>
        <w:t xml:space="preserve">. </w:t>
      </w:r>
      <w:r>
        <w:rPr>
          <w:rtl w:val="true"/>
        </w:rPr>
        <w:t>כמו כן הומלץ על העמדתו של הנאשם בפיקוח שירות המבחן</w:t>
      </w:r>
      <w:r>
        <w:rPr>
          <w:rtl w:val="true"/>
        </w:rPr>
        <w:t>.</w:t>
      </w:r>
    </w:p>
    <w:p>
      <w:pPr>
        <w:pStyle w:val="2"/>
        <w:ind w:end="0"/>
        <w:jc w:val="start"/>
        <w:rPr/>
      </w:pPr>
      <w:r>
        <w:rPr>
          <w:rtl w:val="true"/>
        </w:rPr>
        <w:t>הראיות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לעונש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מטעם המאשימה הוגש הרישום הפלילי של הנאשם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 xml:space="preserve">שממנו עולה שהנאשם עמד לדין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בעיקר בעבירות אלימות ורכוש</w:t>
      </w:r>
      <w:r>
        <w:rPr>
          <w:rtl w:val="true"/>
        </w:rPr>
        <w:t xml:space="preserve">. </w:t>
      </w:r>
      <w:r>
        <w:rPr>
          <w:rtl w:val="true"/>
        </w:rPr>
        <w:t xml:space="preserve">הרשעתו האחרונה היא משנת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 xml:space="preserve">בגין איומים בשנת </w:t>
      </w:r>
      <w:r>
        <w:rPr/>
        <w:t>2006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מטעם הנאשם הוגש מכתב הערכה מאת הרב חיים יוסף אברג</w:t>
      </w:r>
      <w:r>
        <w:rPr>
          <w:rtl w:val="true"/>
        </w:rPr>
        <w:t>'</w:t>
      </w:r>
      <w:r>
        <w:rPr>
          <w:rtl w:val="true"/>
        </w:rPr>
        <w:t>ל שליט</w:t>
      </w:r>
      <w:r>
        <w:rPr>
          <w:rtl w:val="true"/>
        </w:rPr>
        <w:t>"</w:t>
      </w:r>
      <w:r>
        <w:rPr>
          <w:rtl w:val="true"/>
        </w:rPr>
        <w:t>א וכמו כן העידו אחיו של הנאשם</w:t>
      </w:r>
      <w:r>
        <w:rPr>
          <w:rtl w:val="true"/>
        </w:rPr>
        <w:t xml:space="preserve">, </w:t>
      </w:r>
      <w:r>
        <w:rPr>
          <w:rtl w:val="true"/>
        </w:rPr>
        <w:t>אשר סיפר על אופיו הטוב של הנאשם ועל כך שמדובר במעידה חד</w:t>
      </w:r>
      <w:r>
        <w:rPr>
          <w:rtl w:val="true"/>
        </w:rPr>
        <w:t>-</w:t>
      </w:r>
      <w:r>
        <w:rPr>
          <w:rtl w:val="true"/>
        </w:rPr>
        <w:t>פעמית מצדו</w:t>
      </w:r>
      <w:r>
        <w:rPr>
          <w:rtl w:val="true"/>
        </w:rPr>
        <w:t xml:space="preserve">; </w:t>
      </w:r>
      <w:r>
        <w:rPr>
          <w:rtl w:val="true"/>
        </w:rPr>
        <w:t>ואשתו של הנאשם</w:t>
      </w:r>
      <w:r>
        <w:rPr>
          <w:rtl w:val="true"/>
        </w:rPr>
        <w:t xml:space="preserve">, </w:t>
      </w:r>
      <w:r>
        <w:rPr>
          <w:rtl w:val="true"/>
        </w:rPr>
        <w:t>אשר סיפרה על הקושי בפרנסת הבית מאז מעצרו של הנאשם</w:t>
      </w:r>
      <w:r>
        <w:rPr>
          <w:rtl w:val="true"/>
        </w:rPr>
        <w:t xml:space="preserve">. </w:t>
      </w:r>
    </w:p>
    <w:p>
      <w:pPr>
        <w:pStyle w:val="2"/>
        <w:ind w:end="0"/>
        <w:jc w:val="start"/>
        <w:rPr/>
      </w:pPr>
      <w:r>
        <w:rPr>
          <w:rtl w:val="true"/>
        </w:rPr>
        <w:t>עיקרי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עתר להטיל על הנאשם מאסר בפועל למשך שנים ארוכות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פסילת רישיון הנהיגה למשך שנים ופסילה על תנאי</w:t>
      </w:r>
      <w:r>
        <w:rPr>
          <w:rtl w:val="true"/>
        </w:rPr>
        <w:t xml:space="preserve">. </w:t>
      </w:r>
      <w:r>
        <w:rPr>
          <w:rtl w:val="true"/>
        </w:rPr>
        <w:t>נטען כי מדובר במעשה העומד ברף העליון בחומרתו במסגרת הוראות החיקוק</w:t>
      </w:r>
      <w:r>
        <w:rPr>
          <w:rtl w:val="true"/>
        </w:rPr>
        <w:t xml:space="preserve">. </w:t>
      </w:r>
      <w:r>
        <w:rPr>
          <w:rtl w:val="true"/>
        </w:rPr>
        <w:t>מדובר בזלזול בערך של חיי אדם ובקלות בלתי נסבלת של לחיצת היד על ההדק</w:t>
      </w:r>
      <w:r>
        <w:rPr>
          <w:rtl w:val="true"/>
        </w:rPr>
        <w:t xml:space="preserve">, </w:t>
      </w:r>
      <w:r>
        <w:rPr>
          <w:rtl w:val="true"/>
        </w:rPr>
        <w:t>והכול בשל סכסוך של מה בכך שכלל לא נגע לנאשם עצמו</w:t>
      </w:r>
      <w:r>
        <w:rPr>
          <w:rtl w:val="true"/>
        </w:rPr>
        <w:t xml:space="preserve">. </w:t>
      </w:r>
      <w:r>
        <w:rPr>
          <w:rtl w:val="true"/>
        </w:rPr>
        <w:t>עוד הודגש שלא מדובר בתגובה מהירה מחמת זעם</w:t>
      </w:r>
      <w:r>
        <w:rPr>
          <w:rtl w:val="true"/>
        </w:rPr>
        <w:t xml:space="preserve">, </w:t>
      </w:r>
      <w:r>
        <w:rPr>
          <w:rtl w:val="true"/>
        </w:rPr>
        <w:t>שכן הנאשם הפעיל שיקול דעת ורק לאחר שעה ביצע את המעשה</w:t>
      </w:r>
      <w:r>
        <w:rPr>
          <w:rtl w:val="true"/>
        </w:rPr>
        <w:t xml:space="preserve">, </w:t>
      </w:r>
      <w:r>
        <w:rPr>
          <w:rtl w:val="true"/>
        </w:rPr>
        <w:t>וירה ממרחק קצר</w:t>
      </w:r>
      <w:r>
        <w:rPr>
          <w:rtl w:val="true"/>
        </w:rPr>
        <w:t xml:space="preserve">. </w:t>
      </w:r>
      <w:r>
        <w:rPr>
          <w:rtl w:val="true"/>
        </w:rPr>
        <w:t>עוד הוטעם כי מדובר בשכונת מגורים</w:t>
      </w:r>
      <w:r>
        <w:rPr>
          <w:rtl w:val="true"/>
        </w:rPr>
        <w:t xml:space="preserve">, </w:t>
      </w:r>
      <w:r>
        <w:rPr>
          <w:rtl w:val="true"/>
        </w:rPr>
        <w:t>ואי אפשר לטעון שכל הירי היה מכוון רק לחלק האחורי של הרכב</w:t>
      </w:r>
      <w:r>
        <w:rPr>
          <w:rtl w:val="true"/>
        </w:rPr>
        <w:t xml:space="preserve">, </w:t>
      </w:r>
      <w:r>
        <w:rPr>
          <w:rtl w:val="true"/>
        </w:rPr>
        <w:t>ושהנאשם ידע לאן הוא מכוון</w:t>
      </w:r>
      <w:r>
        <w:rPr>
          <w:rtl w:val="true"/>
        </w:rPr>
        <w:t xml:space="preserve">. </w:t>
      </w:r>
      <w:r>
        <w:rPr>
          <w:rtl w:val="true"/>
        </w:rPr>
        <w:t>כדור טועה היה יכול לפגוע באזרח אחר</w:t>
      </w:r>
      <w:r>
        <w:rPr>
          <w:rtl w:val="true"/>
        </w:rPr>
        <w:t xml:space="preserve">. </w:t>
      </w:r>
      <w:r>
        <w:rPr>
          <w:rtl w:val="true"/>
        </w:rPr>
        <w:t>רק בנס לא נפגעו חיי אדם</w:t>
      </w:r>
      <w:r>
        <w:rPr>
          <w:rtl w:val="true"/>
        </w:rPr>
        <w:t xml:space="preserve">. </w:t>
      </w:r>
      <w:r>
        <w:rPr>
          <w:rtl w:val="true"/>
        </w:rPr>
        <w:t>יש להוקיע את המעשה מכל וכל ולהרתיע הן את הנאשם והן את הציבור</w:t>
      </w:r>
      <w:r>
        <w:rPr>
          <w:rtl w:val="true"/>
        </w:rPr>
        <w:t xml:space="preserve">. </w:t>
      </w:r>
      <w:r>
        <w:rPr>
          <w:rtl w:val="true"/>
        </w:rPr>
        <w:t>עוד עמד ב</w:t>
      </w:r>
      <w:r>
        <w:rPr>
          <w:rtl w:val="true"/>
        </w:rPr>
        <w:t>"</w:t>
      </w:r>
      <w:r>
        <w:rPr>
          <w:rtl w:val="true"/>
        </w:rPr>
        <w:t>כ המאשימה על עברו הפלילי הקודם של הנאשם במעשי אלימות ותקיפה</w:t>
      </w:r>
      <w:r>
        <w:rPr>
          <w:rtl w:val="true"/>
        </w:rPr>
        <w:t xml:space="preserve">, </w:t>
      </w:r>
      <w:r>
        <w:rPr>
          <w:rtl w:val="true"/>
        </w:rPr>
        <w:t>ועל כך שהעונשים שקיבל בעבר היו קלים</w:t>
      </w:r>
      <w:r>
        <w:rPr>
          <w:rtl w:val="true"/>
        </w:rPr>
        <w:t xml:space="preserve">, </w:t>
      </w:r>
      <w:r>
        <w:rPr>
          <w:rtl w:val="true"/>
        </w:rPr>
        <w:t>ועל כן יש לנקוט בגישה מחמירה במקרה זה</w:t>
      </w:r>
      <w:r>
        <w:rPr>
          <w:rtl w:val="true"/>
        </w:rPr>
        <w:t>.</w:t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הגיש פסק</w:t>
      </w:r>
      <w:r>
        <w:rPr>
          <w:rtl w:val="true"/>
        </w:rPr>
        <w:t>-</w:t>
      </w:r>
      <w:r>
        <w:rPr>
          <w:rtl w:val="true"/>
        </w:rPr>
        <w:t>דין שניתן ב</w:t>
      </w:r>
      <w:hyperlink r:id="rId1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8311/09</w:t>
        </w:r>
      </w:hyperlink>
      <w:r>
        <w:rPr>
          <w:rtl w:val="true"/>
        </w:rPr>
        <w:t xml:space="preserve">, </w:t>
      </w:r>
      <w:r>
        <w:rPr>
          <w:rtl w:val="true"/>
        </w:rPr>
        <w:t>שבו נגזר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עונש מאסר בפועל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הסביר כי הרקע למעשי הנאשם הוא התעמרות של קבוצת צעירים לבנו של הנאשם</w:t>
      </w:r>
      <w:r>
        <w:rPr>
          <w:rtl w:val="true"/>
        </w:rPr>
        <w:t xml:space="preserve">. </w:t>
      </w:r>
      <w:r>
        <w:rPr>
          <w:rtl w:val="true"/>
        </w:rPr>
        <w:t>הודגש כי הנאשם לא התכוון לפגוע במאן דהוא</w:t>
      </w:r>
      <w:r>
        <w:rPr>
          <w:rtl w:val="true"/>
        </w:rPr>
        <w:t xml:space="preserve">, </w:t>
      </w:r>
      <w:r>
        <w:rPr>
          <w:rtl w:val="true"/>
        </w:rPr>
        <w:t>זירת העבירה הייתה ריקה מאדם בשעה המדוברת</w:t>
      </w:r>
      <w:r>
        <w:rPr>
          <w:rtl w:val="true"/>
        </w:rPr>
        <w:t xml:space="preserve">, </w:t>
      </w:r>
      <w:r>
        <w:rPr>
          <w:rtl w:val="true"/>
        </w:rPr>
        <w:t>הנאשם הודה לאחר שנעשה תיקון בכתב האישום והדברים הועמדו בו על דיוקם</w:t>
      </w:r>
      <w:r>
        <w:rPr>
          <w:rtl w:val="true"/>
        </w:rPr>
        <w:t xml:space="preserve">, </w:t>
      </w:r>
      <w:r>
        <w:rPr>
          <w:rtl w:val="true"/>
        </w:rPr>
        <w:t>הנאשם הביע חרטה</w:t>
      </w:r>
      <w:r>
        <w:rPr>
          <w:rtl w:val="true"/>
        </w:rPr>
        <w:t xml:space="preserve">, </w:t>
      </w:r>
      <w:r>
        <w:rPr>
          <w:rtl w:val="true"/>
        </w:rPr>
        <w:t>הנאשם הוא איש משפחה התורם לקהילה</w:t>
      </w:r>
      <w:r>
        <w:rPr>
          <w:rtl w:val="true"/>
        </w:rPr>
        <w:t xml:space="preserve">, </w:t>
      </w:r>
      <w:r>
        <w:rPr>
          <w:rtl w:val="true"/>
        </w:rPr>
        <w:t>עיקר העבירות שביצע הנאשם בעברו הן משנות ה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ותחילת שנות ה</w:t>
      </w:r>
      <w:r>
        <w:rPr>
          <w:rtl w:val="true"/>
        </w:rPr>
        <w:t>-</w:t>
      </w:r>
      <w:r>
        <w:rPr/>
        <w:t>90</w:t>
      </w:r>
      <w:r>
        <w:rPr>
          <w:rtl w:val="true"/>
        </w:rPr>
        <w:t xml:space="preserve">. </w:t>
      </w:r>
      <w:r>
        <w:rPr>
          <w:rtl w:val="true"/>
        </w:rPr>
        <w:t>נוסף על כך נשפט הנאשם בגין עבירה של אי הגשת דוח מע</w:t>
      </w:r>
      <w:r>
        <w:rPr>
          <w:rtl w:val="true"/>
        </w:rPr>
        <w:t>"</w:t>
      </w:r>
      <w:r>
        <w:rPr>
          <w:rtl w:val="true"/>
        </w:rPr>
        <w:t xml:space="preserve">מ בשנת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 xml:space="preserve">ובגין עבירה של איומים משנת </w:t>
      </w:r>
      <w:r>
        <w:rPr/>
        <w:t>2006</w:t>
      </w:r>
      <w:r>
        <w:rPr>
          <w:rtl w:val="true"/>
        </w:rPr>
        <w:t xml:space="preserve">. </w:t>
      </w:r>
      <w:r>
        <w:rPr>
          <w:rtl w:val="true"/>
        </w:rPr>
        <w:t xml:space="preserve">הנאשם היה עצור במעצר ממשי מיום </w:t>
      </w:r>
      <w:r>
        <w:rPr/>
        <w:t>21/5/11</w:t>
      </w:r>
      <w:r>
        <w:rPr>
          <w:rtl w:val="true"/>
        </w:rPr>
        <w:t xml:space="preserve"> </w:t>
      </w:r>
      <w:r>
        <w:rPr>
          <w:rtl w:val="true"/>
        </w:rPr>
        <w:t xml:space="preserve">ועד יום </w:t>
      </w:r>
      <w:r>
        <w:rPr/>
        <w:t>8/2/12</w:t>
      </w:r>
      <w:r>
        <w:rPr>
          <w:rtl w:val="true"/>
        </w:rPr>
        <w:t xml:space="preserve">. </w:t>
      </w:r>
      <w:r>
        <w:rPr>
          <w:rtl w:val="true"/>
        </w:rPr>
        <w:t>על כן ביקש הסנגור להתחשב בתקופת המעצר ולגזור על הנאשם נוסף על כך עבודות שירות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הפנה ל</w:t>
      </w:r>
      <w:hyperlink r:id="rId1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26763-07-11</w:t>
        </w:r>
      </w:hyperlink>
      <w:r>
        <w:rPr>
          <w:rtl w:val="true"/>
        </w:rPr>
        <w:t xml:space="preserve"> (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אסאדי</w:t>
      </w:r>
      <w:r>
        <w:rPr>
          <w:rtl w:val="true"/>
        </w:rPr>
        <w:t xml:space="preserve">, </w:t>
      </w:r>
      <w:r>
        <w:rPr>
          <w:rtl w:val="true"/>
        </w:rPr>
        <w:t xml:space="preserve">שבו הוטלו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 בפועל בגין עבירות של נשיאת נשק ותחמושת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יריות באזור מגורים</w:t>
      </w:r>
      <w:r>
        <w:rPr>
          <w:rtl w:val="true"/>
        </w:rPr>
        <w:t xml:space="preserve">;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6131/07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tl w:val="true"/>
        </w:rPr>
        <w:t xml:space="preserve">, </w:t>
      </w:r>
      <w:r>
        <w:rPr>
          <w:rtl w:val="true"/>
        </w:rPr>
        <w:t xml:space="preserve">שבו נידון נאשם לעונש מאסר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 בפועל בגין עבירה של חבלה חמורה בנסיבות מחמירות</w:t>
      </w:r>
      <w:r>
        <w:rPr>
          <w:rtl w:val="true"/>
        </w:rPr>
        <w:t xml:space="preserve">;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8305/07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אלסייד</w:t>
      </w:r>
      <w:r>
        <w:rPr>
          <w:rtl w:val="true"/>
        </w:rPr>
        <w:t xml:space="preserve">, </w:t>
      </w:r>
      <w:r>
        <w:rPr>
          <w:rtl w:val="true"/>
        </w:rPr>
        <w:t xml:space="preserve">שבו הוטלו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 בגין עבירות של חבלה חמורה בנסיבות מחמירות ובגין ניסיון לחבלה בנסיבות מחמירות – עבירות שבוצעו בירי</w:t>
      </w:r>
      <w:r>
        <w:rPr>
          <w:rtl w:val="true"/>
        </w:rPr>
        <w:t xml:space="preserve">; </w:t>
      </w:r>
      <w:r>
        <w:rPr>
          <w:rtl w:val="true"/>
        </w:rPr>
        <w:t>ול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19979-06-10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אבו סבית</w:t>
      </w:r>
      <w:r>
        <w:rPr>
          <w:rtl w:val="true"/>
        </w:rPr>
        <w:t xml:space="preserve">, </w:t>
      </w:r>
      <w:r>
        <w:rPr>
          <w:rtl w:val="true"/>
        </w:rPr>
        <w:t xml:space="preserve">שבו הוטלו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בגין עבירות של איום</w:t>
      </w:r>
      <w:r>
        <w:rPr>
          <w:rtl w:val="true"/>
        </w:rPr>
        <w:t xml:space="preserve">, </w:t>
      </w:r>
      <w:r>
        <w:rPr>
          <w:rtl w:val="true"/>
        </w:rPr>
        <w:t>ירי באזור מגורים והיזק בזדון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 אמר בבית המשפט</w:t>
      </w:r>
      <w:r>
        <w:rPr>
          <w:rtl w:val="true"/>
        </w:rPr>
        <w:t>: "</w:t>
      </w:r>
      <w:r>
        <w:rPr>
          <w:rtl w:val="true"/>
        </w:rPr>
        <w:t>אני מתחרט על מה שהיה</w:t>
      </w:r>
      <w:r>
        <w:rPr>
          <w:rtl w:val="true"/>
        </w:rPr>
        <w:t xml:space="preserve">. </w:t>
      </w:r>
      <w:r>
        <w:rPr>
          <w:rtl w:val="true"/>
        </w:rPr>
        <w:t>אני מצטער ואני מתבייש</w:t>
      </w:r>
      <w:r>
        <w:rPr>
          <w:rtl w:val="true"/>
        </w:rPr>
        <w:t xml:space="preserve">. </w:t>
      </w:r>
      <w:r>
        <w:rPr>
          <w:rtl w:val="true"/>
        </w:rPr>
        <w:t>פעם אחרונה שאגיע לבית משפט או שאהיה בסיטואציה של אלימות או בעיה כלשהי</w:t>
      </w:r>
      <w:r>
        <w:rPr>
          <w:rtl w:val="true"/>
        </w:rPr>
        <w:t xml:space="preserve">". </w:t>
      </w:r>
    </w:p>
    <w:p>
      <w:pPr>
        <w:pStyle w:val="2"/>
        <w:ind w:end="0"/>
        <w:jc w:val="start"/>
        <w:rPr/>
      </w:pPr>
      <w:r>
        <w:rPr>
          <w:rtl w:val="true"/>
        </w:rPr>
        <w:t>דיון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 הורשע בעבירות של החזקת נשק</w:t>
      </w:r>
      <w:r>
        <w:rPr>
          <w:rtl w:val="true"/>
        </w:rPr>
        <w:t xml:space="preserve">, </w:t>
      </w:r>
      <w:r>
        <w:rPr>
          <w:rtl w:val="true"/>
        </w:rPr>
        <w:t>ירי באזור מגורים ומעשה פזיזות ורשלנות לצד עבירת איומים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לאחרונה ניתנו על</w:t>
      </w:r>
      <w:r>
        <w:rPr>
          <w:rtl w:val="true"/>
        </w:rPr>
        <w:t>-</w:t>
      </w:r>
      <w:r>
        <w:rPr>
          <w:rtl w:val="true"/>
        </w:rPr>
        <w:t>ידי בית המשפט העליון פסקי דין</w:t>
      </w:r>
      <w:r>
        <w:rPr>
          <w:rtl w:val="true"/>
        </w:rPr>
        <w:t xml:space="preserve">, </w:t>
      </w:r>
      <w:r>
        <w:rPr>
          <w:rtl w:val="true"/>
        </w:rPr>
        <w:t>שהנחו את בתי</w:t>
      </w:r>
      <w:r>
        <w:rPr>
          <w:rtl w:val="true"/>
        </w:rPr>
        <w:t>-</w:t>
      </w:r>
      <w:r>
        <w:rPr>
          <w:rtl w:val="true"/>
        </w:rPr>
        <w:t>המשפט להחמיר בענישה בעבירות בנשק על סוגיהן השונים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 ההיקף הרב של המקרים המובאים לפתחם של בתי</w:t>
      </w:r>
      <w:r>
        <w:rPr>
          <w:rtl w:val="true"/>
        </w:rPr>
        <w:t>-</w:t>
      </w:r>
      <w:r>
        <w:rPr>
          <w:rtl w:val="true"/>
        </w:rPr>
        <w:t xml:space="preserve">המשפט ונוכח המסוכנות הגלומה בעבירות אלה ופוטנציאל הסיכון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4/12/11</w:t>
      </w:r>
      <w:r>
        <w:rPr>
          <w:rtl w:val="true"/>
        </w:rPr>
        <w:t xml:space="preserve">); </w:t>
      </w:r>
      <w:r>
        <w:rPr>
          <w:rtl w:val="true"/>
        </w:rPr>
        <w:t>ופסקי דין נוספים בעקבותיו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319/11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יאסין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5/12/11</w:t>
      </w:r>
      <w:r>
        <w:rPr>
          <w:rtl w:val="true"/>
        </w:rPr>
        <w:t xml:space="preserve">); 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6371/11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הייבי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18/12/11</w:t>
      </w:r>
      <w:r>
        <w:rPr>
          <w:rtl w:val="true"/>
        </w:rPr>
        <w:t xml:space="preserve">); 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4105/11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25/1/12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</w:rPr>
          <w:t>4450/11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עספור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8/2/12</w:t>
      </w:r>
      <w:r>
        <w:rPr>
          <w:rtl w:val="true"/>
        </w:rPr>
        <w:t>)).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בפסקי הדין הנ</w:t>
      </w:r>
      <w:r>
        <w:rPr>
          <w:rtl w:val="true"/>
        </w:rPr>
        <w:t>"</w:t>
      </w:r>
      <w:r>
        <w:rPr>
          <w:rtl w:val="true"/>
        </w:rPr>
        <w:t>ל נדונו נאשמים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בגין עבירות של סחר בנשק</w:t>
      </w:r>
      <w:r>
        <w:rPr>
          <w:rtl w:val="true"/>
        </w:rPr>
        <w:t xml:space="preserve">, </w:t>
      </w:r>
      <w:r>
        <w:rPr>
          <w:rtl w:val="true"/>
        </w:rPr>
        <w:t>אולם הדברים שנאמרו שם מכוונים את רמת הענישה גם בעבירות של החזקת נשק או נשיאה שלא כחוק</w:t>
      </w:r>
      <w:r>
        <w:rPr>
          <w:rtl w:val="true"/>
        </w:rPr>
        <w:t xml:space="preserve">, </w:t>
      </w:r>
      <w:r>
        <w:rPr>
          <w:rtl w:val="true"/>
        </w:rPr>
        <w:t>בהתאמה המתחייבת</w:t>
      </w:r>
      <w:r>
        <w:rPr>
          <w:rtl w:val="true"/>
        </w:rPr>
        <w:t xml:space="preserve">. </w:t>
      </w:r>
      <w:r>
        <w:rPr>
          <w:rtl w:val="true"/>
        </w:rPr>
        <w:t xml:space="preserve">על הצורך להחמיר את רמת הענישה גם בהקשר זה של החזקת נשק עמד בית המשפט העליון כבר לפני שנים אחדות באומרו </w:t>
      </w:r>
      <w:r>
        <w:rPr>
          <w:rtl w:val="true"/>
        </w:rPr>
        <w:t>"</w:t>
      </w:r>
      <w:r>
        <w:rPr>
          <w:rtl w:val="true"/>
        </w:rPr>
        <w:t>גם אם נכון הדבר כי עד כה רמת הענישה בעבירות של החזקת נשק אינה גבוהה</w:t>
      </w:r>
      <w:r>
        <w:rPr>
          <w:rtl w:val="true"/>
        </w:rPr>
        <w:t xml:space="preserve">, </w:t>
      </w:r>
      <w:r>
        <w:rPr>
          <w:rtl w:val="true"/>
        </w:rPr>
        <w:t xml:space="preserve">הרי שהמציאות השוררת היום בארץ </w:t>
      </w:r>
      <w:r>
        <w:rPr>
          <w:rtl w:val="true"/>
        </w:rPr>
        <w:t xml:space="preserve">- </w:t>
      </w:r>
      <w:r>
        <w:rPr>
          <w:rtl w:val="true"/>
        </w:rPr>
        <w:t xml:space="preserve">זמינותו של נשק חם ורב עוצמה שיש עמו פוטנציאל להסלמה באלימות העבריינית והאידיאולוגית כאחד </w:t>
      </w:r>
      <w:r>
        <w:rPr>
          <w:rtl w:val="true"/>
        </w:rPr>
        <w:t xml:space="preserve">- </w:t>
      </w:r>
      <w:r>
        <w:rPr>
          <w:rtl w:val="true"/>
        </w:rPr>
        <w:t>מחייבת מתן ביטוי עונשי הולם והחמרה ברמת הענישה</w:t>
      </w:r>
      <w:r>
        <w:rPr>
          <w:rtl w:val="true"/>
        </w:rPr>
        <w:t>" (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1332/04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 ישראל 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545</w:t>
      </w:r>
      <w:r>
        <w:rPr>
          <w:rtl w:val="true"/>
        </w:rPr>
        <w:t xml:space="preserve">; </w:t>
      </w:r>
      <w:r>
        <w:rPr>
          <w:rtl w:val="true"/>
        </w:rPr>
        <w:t xml:space="preserve">ראו גם 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8012/04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מתאני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16/11/05</w:t>
      </w:r>
      <w:r>
        <w:rPr>
          <w:rtl w:val="true"/>
        </w:rPr>
        <w:t xml:space="preserve">), </w:t>
      </w:r>
      <w:r>
        <w:rPr>
          <w:rtl w:val="true"/>
        </w:rPr>
        <w:t xml:space="preserve">בפסקה </w:t>
      </w:r>
      <w:r>
        <w:rPr/>
        <w:t>6</w:t>
      </w:r>
      <w:r>
        <w:rPr>
          <w:rtl w:val="true"/>
        </w:rPr>
        <w:t xml:space="preserve">). </w:t>
      </w:r>
      <w:r>
        <w:rPr>
          <w:rtl w:val="true"/>
        </w:rPr>
        <w:t>על דברים באותה הרוח אף חזר בית המשפט לאחרונה ב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4460/11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פאיד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28/11/11</w:t>
      </w:r>
      <w:r>
        <w:rPr>
          <w:rtl w:val="true"/>
        </w:rPr>
        <w:t xml:space="preserve">) </w:t>
      </w:r>
      <w:r>
        <w:rPr>
          <w:rtl w:val="true"/>
        </w:rPr>
        <w:t>בציינו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9</w:t>
      </w:r>
      <w:r>
        <w:rPr>
          <w:rtl w:val="true"/>
        </w:rPr>
        <w:t xml:space="preserve">: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5"/>
        <w:ind w:end="1281"/>
        <w:jc w:val="both"/>
        <w:rPr/>
      </w:pPr>
      <w:r>
        <w:rPr>
          <w:rtl w:val="true"/>
        </w:rPr>
        <w:t>אכן נראה לנו כי הגיעה השעה להחמיר בעבירות של החזקת נשק ושימוש בו</w:t>
      </w:r>
      <w:r>
        <w:rPr>
          <w:rtl w:val="true"/>
        </w:rPr>
        <w:t xml:space="preserve">. </w:t>
      </w:r>
      <w:r>
        <w:rPr>
          <w:rtl w:val="true"/>
        </w:rPr>
        <w:t>נשק המוחזק שלא כדין עלול למצוא דרכו לידיים עוינות ועלול גם לשמש למטרות פליליות</w:t>
      </w:r>
      <w:r>
        <w:rPr>
          <w:rtl w:val="true"/>
        </w:rPr>
        <w:t xml:space="preserve">. </w:t>
      </w:r>
      <w:r>
        <w:rPr>
          <w:rtl w:val="true"/>
        </w:rPr>
        <w:t>יריות שמחה באירועים יש בהן כדי לסכן חפים מפשע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באותו מקרה דובר במי שנשא והחזיק היקף גדול ומגוון של כלי נשק</w:t>
      </w:r>
      <w:r>
        <w:rPr>
          <w:rtl w:val="true"/>
        </w:rPr>
        <w:t xml:space="preserve">, </w:t>
      </w:r>
      <w:r>
        <w:rPr>
          <w:rtl w:val="true"/>
        </w:rPr>
        <w:t>וירה 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 אקדח במהלך חתונה בלבה של שכונת מגורים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העליון העמיד את עונשו על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 xml:space="preserve">במקום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 בפועל שהטיל בית משפט קמא</w:t>
      </w:r>
      <w:r>
        <w:rPr>
          <w:rtl w:val="true"/>
        </w:rPr>
        <w:t xml:space="preserve">) </w:t>
      </w:r>
      <w:r>
        <w:rPr>
          <w:rtl w:val="true"/>
        </w:rPr>
        <w:t>בציינו כי ההחמרה בעונש במקרה זה הייתה רק בצורה מתונה</w:t>
      </w:r>
      <w:r>
        <w:rPr>
          <w:rtl w:val="true"/>
        </w:rPr>
        <w:t>, "</w:t>
      </w:r>
      <w:r>
        <w:rPr>
          <w:rtl w:val="true"/>
        </w:rPr>
        <w:t>ויהיו הדברים בגדר אזהרה לבאות</w:t>
      </w:r>
      <w:r>
        <w:rPr>
          <w:rtl w:val="true"/>
        </w:rPr>
        <w:t>".</w:t>
      </w:r>
    </w:p>
    <w:p>
      <w:pPr>
        <w:pStyle w:val="Style14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חומרתה של עבירת החזקת נשק</w:t>
      </w:r>
      <w:r>
        <w:rPr>
          <w:rtl w:val="true"/>
        </w:rPr>
        <w:t xml:space="preserve">, </w:t>
      </w:r>
      <w:r>
        <w:rPr>
          <w:rtl w:val="true"/>
        </w:rPr>
        <w:t>מקורה בכך שעבירה זו אינה נעשית לרוב אלא כדי לאפשר ביצוען של עבירות אחרות</w:t>
      </w:r>
      <w:r>
        <w:rPr>
          <w:rtl w:val="true"/>
        </w:rPr>
        <w:t xml:space="preserve">, </w:t>
      </w:r>
      <w:r>
        <w:rPr>
          <w:rtl w:val="true"/>
        </w:rPr>
        <w:t>שמעצם טבעו של הנשק</w:t>
      </w:r>
      <w:r>
        <w:rPr>
          <w:rtl w:val="true"/>
        </w:rPr>
        <w:t xml:space="preserve">, </w:t>
      </w:r>
      <w:r>
        <w:rPr>
          <w:rtl w:val="true"/>
        </w:rPr>
        <w:t>כרוכות באלימות או בהפחדה</w:t>
      </w:r>
      <w:r>
        <w:rPr>
          <w:rtl w:val="true"/>
        </w:rPr>
        <w:t xml:space="preserve">. </w:t>
      </w:r>
      <w:r>
        <w:rPr>
          <w:rtl w:val="true"/>
        </w:rPr>
        <w:t>המציאות השוררת בארץ</w:t>
      </w:r>
      <w:r>
        <w:rPr>
          <w:rtl w:val="true"/>
        </w:rPr>
        <w:t xml:space="preserve">, </w:t>
      </w:r>
      <w:r>
        <w:rPr>
          <w:rtl w:val="true"/>
        </w:rPr>
        <w:t>המתבטאת בזמינותו של נשק חם ורב עוצמה שיש עמו פוטנציאל להסלמת האלימות העבריינית</w:t>
      </w:r>
      <w:r>
        <w:rPr>
          <w:rtl w:val="true"/>
        </w:rPr>
        <w:t xml:space="preserve">, </w:t>
      </w:r>
      <w:r>
        <w:rPr>
          <w:rtl w:val="true"/>
        </w:rPr>
        <w:t>מחייבת מתן ביטוי עונשי הולם והחמרה ברמת הענישה</w:t>
      </w:r>
      <w:r>
        <w:rPr>
          <w:rtl w:val="true"/>
        </w:rPr>
        <w:t xml:space="preserve">. </w:t>
      </w:r>
      <w:r>
        <w:rPr>
          <w:rtl w:val="true"/>
        </w:rPr>
        <w:t>על העונש המושת בגין עבירות נשק</w:t>
      </w:r>
      <w:r>
        <w:rPr>
          <w:rtl w:val="true"/>
        </w:rPr>
        <w:t xml:space="preserve">, </w:t>
      </w:r>
      <w:r>
        <w:rPr>
          <w:rtl w:val="true"/>
        </w:rPr>
        <w:t>לרבות עבירה של החזקת נשק</w:t>
      </w:r>
      <w:r>
        <w:rPr>
          <w:rtl w:val="true"/>
        </w:rPr>
        <w:t xml:space="preserve">, </w:t>
      </w:r>
      <w:r>
        <w:rPr>
          <w:rtl w:val="true"/>
        </w:rPr>
        <w:t>לשקף אפוא רמה גבוהה של הרתעה</w:t>
      </w:r>
      <w:r>
        <w:rPr>
          <w:rtl w:val="true"/>
        </w:rPr>
        <w:t xml:space="preserve">, </w:t>
      </w:r>
      <w:r>
        <w:rPr>
          <w:rtl w:val="true"/>
        </w:rPr>
        <w:t xml:space="preserve">וככלל יש להעמידו על מאסר ממשי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אדהאם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5/12/06</w:t>
      </w:r>
      <w:r>
        <w:rPr>
          <w:rtl w:val="true"/>
        </w:rPr>
        <w:t xml:space="preserve">); 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30/12/09</w:t>
      </w:r>
      <w:r>
        <w:rPr>
          <w:rtl w:val="true"/>
        </w:rPr>
        <w:t xml:space="preserve">), </w:t>
      </w:r>
      <w:r>
        <w:rPr>
          <w:rtl w:val="true"/>
        </w:rPr>
        <w:t>בפסקאות ט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; 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חרבוש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9/6/10</w:t>
      </w:r>
      <w:r>
        <w:rPr>
          <w:rtl w:val="true"/>
        </w:rPr>
        <w:t xml:space="preserve">), </w:t>
      </w:r>
      <w:r>
        <w:rPr>
          <w:rtl w:val="true"/>
        </w:rPr>
        <w:t xml:space="preserve">בפסקה </w:t>
      </w:r>
      <w:r>
        <w:rPr/>
        <w:t>55</w:t>
      </w:r>
      <w:r>
        <w:rPr>
          <w:rtl w:val="true"/>
        </w:rPr>
        <w:t xml:space="preserve">). </w:t>
      </w:r>
    </w:p>
    <w:p>
      <w:pPr>
        <w:pStyle w:val="Style14"/>
        <w:ind w:firstLine="720" w:end="0"/>
        <w:jc w:val="both"/>
        <w:rPr/>
      </w:pPr>
      <w:r>
        <w:rPr>
          <w:rtl w:val="true"/>
        </w:rPr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יצוין כי במקרה דומה אך קל בנסיבותיו ביחס למקרה דנא</w:t>
      </w:r>
      <w:r>
        <w:rPr>
          <w:rtl w:val="true"/>
        </w:rPr>
        <w:t xml:space="preserve">, </w:t>
      </w:r>
      <w:r>
        <w:rPr>
          <w:rtl w:val="true"/>
        </w:rPr>
        <w:t>אשר התייחס לנאשם צעיר ונעדר כל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אושר לאחרונה עונש מאסר בפועל 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(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2006/12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אסדי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28/3/12</w:t>
      </w:r>
      <w:r>
        <w:rPr>
          <w:rtl w:val="true"/>
        </w:rPr>
        <w:t>)).</w:t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במקרה דנא</w:t>
      </w:r>
      <w:r>
        <w:rPr>
          <w:rtl w:val="true"/>
        </w:rPr>
        <w:t xml:space="preserve">, </w:t>
      </w:r>
      <w:r>
        <w:rPr>
          <w:rtl w:val="true"/>
        </w:rPr>
        <w:t>הנאשם עשה שימוש בנשק</w:t>
      </w:r>
      <w:r>
        <w:rPr>
          <w:rtl w:val="true"/>
        </w:rPr>
        <w:t xml:space="preserve">, </w:t>
      </w:r>
      <w:r>
        <w:rPr>
          <w:rtl w:val="true"/>
        </w:rPr>
        <w:t>בכך שירה בו כלפי אחרים שישבו בתוך רכב באזור מגורים</w:t>
      </w:r>
      <w:r>
        <w:rPr>
          <w:rtl w:val="true"/>
        </w:rPr>
        <w:t xml:space="preserve">. </w:t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בנס לא נגרם נזק בגין הירי שביצע הנאשם</w:t>
      </w:r>
      <w:r>
        <w:rPr>
          <w:rtl w:val="true"/>
        </w:rPr>
        <w:t xml:space="preserve">, </w:t>
      </w:r>
      <w:r>
        <w:rPr>
          <w:rtl w:val="true"/>
        </w:rPr>
        <w:t>אך בהחלט מדובר במעשה שעלול היה לפגוע באופן חמור לא רק ביושבי הרכב אלא גם בעוברי אורח תמימים</w:t>
      </w:r>
      <w:r>
        <w:rPr>
          <w:rtl w:val="true"/>
        </w:rPr>
        <w:t xml:space="preserve">. </w:t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כמו כן הבאתי בחשבון את עברו הפלילי של הנאשם</w:t>
      </w:r>
      <w:r>
        <w:rPr>
          <w:rtl w:val="true"/>
        </w:rPr>
        <w:t xml:space="preserve">, </w:t>
      </w:r>
      <w:r>
        <w:rPr>
          <w:rtl w:val="true"/>
        </w:rPr>
        <w:t>אשר רובו אמנם ישן</w:t>
      </w:r>
      <w:r>
        <w:rPr>
          <w:rtl w:val="true"/>
        </w:rPr>
        <w:t xml:space="preserve">, </w:t>
      </w:r>
      <w:r>
        <w:rPr>
          <w:rtl w:val="true"/>
        </w:rPr>
        <w:t xml:space="preserve">אך הוא כולל מספר עבירות אלימות והעבירה האחרונה </w:t>
      </w:r>
      <w:r>
        <w:rPr>
          <w:rtl w:val="true"/>
        </w:rPr>
        <w:t>(</w:t>
      </w:r>
      <w:r>
        <w:rPr>
          <w:rtl w:val="true"/>
        </w:rPr>
        <w:t xml:space="preserve">משנת </w:t>
      </w:r>
      <w:r>
        <w:rPr/>
        <w:t>2006</w:t>
      </w:r>
      <w:r>
        <w:rPr>
          <w:rtl w:val="true"/>
        </w:rPr>
        <w:t xml:space="preserve">) </w:t>
      </w:r>
      <w:r>
        <w:rPr>
          <w:rtl w:val="true"/>
        </w:rPr>
        <w:t xml:space="preserve">שבה הורשע בשנת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עבירת האיומים</w:t>
      </w:r>
      <w:r>
        <w:rPr>
          <w:rtl w:val="true"/>
        </w:rPr>
        <w:t xml:space="preserve">, </w:t>
      </w:r>
      <w:r>
        <w:rPr>
          <w:rtl w:val="true"/>
        </w:rPr>
        <w:t>היא אותה עבירה שבגינה הוא עומד לדין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גם כיום</w:t>
      </w:r>
      <w:r>
        <w:rPr>
          <w:rtl w:val="true"/>
        </w:rPr>
        <w:t>.</w:t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בגין כך יש להחמיר בדינו של הנאשם</w:t>
      </w:r>
      <w:r>
        <w:rPr>
          <w:rtl w:val="true"/>
        </w:rPr>
        <w:t>.</w:t>
      </w:r>
    </w:p>
    <w:p>
      <w:pPr>
        <w:pStyle w:val="Style14"/>
        <w:ind w:firstLine="720" w:end="0"/>
        <w:jc w:val="both"/>
        <w:rPr/>
      </w:pPr>
      <w:r>
        <w:rPr>
          <w:rtl w:val="true"/>
        </w:rPr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שקלתי לקולה את הודאת הנאשם</w:t>
      </w:r>
      <w:r>
        <w:rPr>
          <w:rtl w:val="true"/>
        </w:rPr>
        <w:t xml:space="preserve">, </w:t>
      </w:r>
      <w:r>
        <w:rPr>
          <w:rtl w:val="true"/>
        </w:rPr>
        <w:t>את העובדה שנטל אחריות על מעשיו</w:t>
      </w:r>
      <w:r>
        <w:rPr>
          <w:rtl w:val="true"/>
        </w:rPr>
        <w:t xml:space="preserve">, </w:t>
      </w:r>
      <w:r>
        <w:rPr>
          <w:rtl w:val="true"/>
        </w:rPr>
        <w:t>את נסיבותיו האישיות והמשפחתיות</w:t>
      </w:r>
      <w:r>
        <w:rPr>
          <w:rtl w:val="true"/>
        </w:rPr>
        <w:t xml:space="preserve">, </w:t>
      </w:r>
      <w:r>
        <w:rPr>
          <w:rtl w:val="true"/>
        </w:rPr>
        <w:t>ואת תוכן תסקיר שירות המבחן</w:t>
      </w:r>
      <w:r>
        <w:rPr>
          <w:rtl w:val="true"/>
        </w:rPr>
        <w:t xml:space="preserve">. </w:t>
      </w:r>
    </w:p>
    <w:p>
      <w:pPr>
        <w:pStyle w:val="Style14"/>
        <w:ind w:firstLine="720" w:end="0"/>
        <w:jc w:val="both"/>
        <w:rPr/>
      </w:pPr>
      <w:r>
        <w:rPr>
          <w:rtl w:val="true"/>
        </w:rPr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החלטתי שלא למצות את הדין עם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לצד האמור לעיל</w:t>
      </w:r>
      <w:r>
        <w:rPr>
          <w:rtl w:val="true"/>
        </w:rPr>
        <w:t xml:space="preserve">, </w:t>
      </w:r>
      <w:r>
        <w:rPr>
          <w:rtl w:val="true"/>
        </w:rPr>
        <w:t>איני מוצא הצדקה לפסול את הנאשם מלקבל או להחזיק ברישיון נהיגה</w:t>
      </w:r>
      <w:r>
        <w:rPr>
          <w:rtl w:val="true"/>
        </w:rPr>
        <w:t xml:space="preserve">. </w:t>
      </w:r>
      <w:r>
        <w:rPr>
          <w:rtl w:val="true"/>
        </w:rPr>
        <w:t>המעשים המיוחסים לנאשם אינם נובעים מנהיגה או משימוש ברכב מצדו</w:t>
      </w:r>
      <w:r>
        <w:rPr>
          <w:rtl w:val="true"/>
        </w:rPr>
        <w:t xml:space="preserve">, </w:t>
      </w:r>
      <w:r>
        <w:rPr>
          <w:rtl w:val="true"/>
        </w:rPr>
        <w:t xml:space="preserve">ולא ניתן לומר כי הנאשם הסתייע ברכב לצורך ביצוע העבירות במובן האמור </w:t>
      </w:r>
      <w:hyperlink r:id="rId29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פקודת 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2"/>
        <w:ind w:end="0"/>
        <w:jc w:val="start"/>
        <w:rPr/>
      </w:pPr>
      <w:r>
        <w:rPr>
          <w:rtl w:val="true"/>
        </w:rPr>
        <w:t>סוף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דבר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כללו של דבר</w:t>
      </w:r>
      <w:r>
        <w:rPr>
          <w:rtl w:val="true"/>
        </w:rPr>
        <w:t xml:space="preserve">, </w:t>
      </w:r>
      <w:r>
        <w:rPr>
          <w:rtl w:val="true"/>
        </w:rPr>
        <w:t>לאחר ששקלתי את שיקולי ההלימה והגמול</w:t>
      </w:r>
      <w:r>
        <w:rPr>
          <w:rtl w:val="true"/>
        </w:rPr>
        <w:t xml:space="preserve">,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ההגנה על שלום הציבור והשיקום</w:t>
      </w:r>
      <w:r>
        <w:rPr>
          <w:rtl w:val="true"/>
        </w:rPr>
        <w:t xml:space="preserve">, </w:t>
      </w:r>
      <w:r>
        <w:rPr>
          <w:rtl w:val="true"/>
        </w:rPr>
        <w:t>ולאחר שנתתי דעתי לאיזון הראוי בין מכלול השיקולים לחומרה ולקולה</w:t>
      </w:r>
      <w:r>
        <w:rPr>
          <w:rtl w:val="true"/>
        </w:rPr>
        <w:t xml:space="preserve">, </w:t>
      </w:r>
      <w:r>
        <w:rPr>
          <w:rtl w:val="true"/>
        </w:rPr>
        <w:t>החלטתי להטיל על הנאשם את העונשים הבאים</w:t>
      </w:r>
      <w:r>
        <w:rPr>
          <w:rtl w:val="true"/>
        </w:rPr>
        <w:t xml:space="preserve">: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בניכוי תקופת מעצרו מיום </w:t>
      </w:r>
      <w:r>
        <w:rPr/>
        <w:t>21/5/11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8/2/12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 תנאי למשך שלוש שנים מיום שחרורו ממאסר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שלא יעבור עבירת אלימות מסוג פשע או עבירות בנשק </w:t>
      </w:r>
      <w:r>
        <w:rPr>
          <w:rtl w:val="true"/>
        </w:rPr>
        <w:t>(</w:t>
      </w:r>
      <w:r>
        <w:rPr>
          <w:rtl w:val="true"/>
        </w:rPr>
        <w:t>למעט ירי באזור מגורים</w:t>
      </w:r>
      <w:r>
        <w:rPr>
          <w:rtl w:val="true"/>
        </w:rPr>
        <w:t>).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על תנאי למשך שלוש שנים מיום שחרורו ממאסר</w:t>
      </w:r>
      <w:r>
        <w:rPr>
          <w:rtl w:val="true"/>
        </w:rPr>
        <w:t xml:space="preserve">, </w:t>
      </w:r>
      <w:r>
        <w:rPr>
          <w:rtl w:val="true"/>
        </w:rPr>
        <w:t>והתנאי הוא שלא יעבור עבירת אלימות מסוג עוון</w:t>
      </w:r>
      <w:r>
        <w:rPr>
          <w:rtl w:val="true"/>
        </w:rPr>
        <w:t xml:space="preserve">, </w:t>
      </w:r>
      <w:r>
        <w:rPr>
          <w:rtl w:val="true"/>
        </w:rPr>
        <w:t>עבירה של ירי באזור מגורים או עבירה של איומים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</w:p>
    <w:p>
      <w:pPr>
        <w:pStyle w:val="Style14"/>
        <w:ind w:hanging="720" w:start="1440"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rFonts w:cs="Arial" w:ascii="Arial" w:hAnsi="Arial"/>
          <w:color w:val="FFFFFF"/>
          <w:sz w:val="2"/>
          <w:szCs w:val="2"/>
        </w:rPr>
        <w:t>5467831354678313</w:t>
      </w: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סיון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sz w:val="26"/>
          <w:szCs w:val="26"/>
        </w:rPr>
        <w:t>2012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tbl>
      <w:tblPr>
        <w:tblpPr w:vertAnchor="text" w:horzAnchor="page" w:leftFromText="180" w:rightFromText="180" w:tblpX="1277" w:tblpY="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7"/>
      </w:tblGrid>
      <w:tr>
        <w:trPr/>
        <w:tc>
          <w:tcPr>
            <w:tcW w:w="25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Times New Roman"/>
                <w:rtl w:val="true"/>
              </w:rPr>
              <w:t xml:space="preserve">                                                                                                                   </w:t>
            </w:r>
          </w:p>
        </w:tc>
      </w:tr>
      <w:tr>
        <w:trPr>
          <w:trHeight w:val="427" w:hRule="atLeast"/>
        </w:trPr>
        <w:tc>
          <w:tcPr>
            <w:tcW w:w="251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/>
                <w:bCs/>
                <w:sz w:val="26"/>
                <w:sz w:val="26"/>
                <w:szCs w:val="26"/>
                <w:rtl w:val="true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50033-05-11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מרדכי עמר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3">
    <w:name w:val="תבנית רגיל תו"/>
    <w:qFormat/>
    <w:rPr>
      <w:rFonts w:ascii="Times" w:hAnsi="Times" w:cs="David"/>
      <w:sz w:val="26"/>
      <w:szCs w:val="2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תבנית רגיל"/>
    <w:basedOn w:val="Normal"/>
    <w:qFormat/>
    <w:pPr>
      <w:spacing w:lineRule="auto" w:line="360"/>
      <w:jc w:val="both"/>
    </w:pPr>
    <w:rPr>
      <w:rFonts w:ascii="Times" w:hAnsi="Times" w:cs="Times"/>
      <w:sz w:val="26"/>
      <w:szCs w:val="26"/>
    </w:rPr>
  </w:style>
  <w:style w:type="paragraph" w:styleId="2">
    <w:name w:val="תבנית כותרת 2"/>
    <w:basedOn w:val="Heading2"/>
    <w:next w:val="Style14"/>
    <w:qFormat/>
    <w:pPr>
      <w:numPr>
        <w:ilvl w:val="0"/>
        <w:numId w:val="0"/>
      </w:numPr>
      <w:ind w:firstLine="720" w:start="0" w:end="0"/>
      <w:outlineLvl w:val="9"/>
    </w:pPr>
    <w:rPr>
      <w:rFonts w:cs="Miriam"/>
      <w:b w:val="false"/>
      <w:bCs w:val="false"/>
      <w:i w:val="false"/>
      <w:iCs w:val="false"/>
      <w:szCs w:val="24"/>
      <w:u w:val="single"/>
    </w:rPr>
  </w:style>
  <w:style w:type="paragraph" w:styleId="Style15">
    <w:name w:val="תבנית ציטוט"/>
    <w:basedOn w:val="Style14"/>
    <w:next w:val="Style14"/>
    <w:qFormat/>
    <w:pPr>
      <w:spacing w:lineRule="auto" w:line="240"/>
      <w:ind w:hanging="0" w:start="1644" w:end="1281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38.5" TargetMode="External"/><Relationship Id="rId6" Type="http://schemas.openxmlformats.org/officeDocument/2006/relationships/hyperlink" Target="http://www.nevo.co.il/law/70301/340.a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43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/340.a" TargetMode="External"/><Relationship Id="rId13" Type="http://schemas.openxmlformats.org/officeDocument/2006/relationships/hyperlink" Target="http://www.nevo.co.il/law/70301/338.5" TargetMode="External"/><Relationship Id="rId14" Type="http://schemas.openxmlformats.org/officeDocument/2006/relationships/hyperlink" Target="http://www.nevo.co.il/case/2526011" TargetMode="External"/><Relationship Id="rId15" Type="http://schemas.openxmlformats.org/officeDocument/2006/relationships/hyperlink" Target="http://www.nevo.co.il/case/2780302" TargetMode="External"/><Relationship Id="rId16" Type="http://schemas.openxmlformats.org/officeDocument/2006/relationships/hyperlink" Target="http://www.nevo.co.il/case/2248786" TargetMode="External"/><Relationship Id="rId17" Type="http://schemas.openxmlformats.org/officeDocument/2006/relationships/hyperlink" Target="http://www.nevo.co.il/case/2244758" TargetMode="External"/><Relationship Id="rId18" Type="http://schemas.openxmlformats.org/officeDocument/2006/relationships/hyperlink" Target="http://www.nevo.co.il/case/5821327" TargetMode="External"/><Relationship Id="rId19" Type="http://schemas.openxmlformats.org/officeDocument/2006/relationships/hyperlink" Target="http://www.nevo.co.il/case/5699080" TargetMode="External"/><Relationship Id="rId20" Type="http://schemas.openxmlformats.org/officeDocument/2006/relationships/hyperlink" Target="http://www.nevo.co.il/case/5594385" TargetMode="External"/><Relationship Id="rId21" Type="http://schemas.openxmlformats.org/officeDocument/2006/relationships/hyperlink" Target="http://www.nevo.co.il/case/5866720" TargetMode="External"/><Relationship Id="rId22" Type="http://schemas.openxmlformats.org/officeDocument/2006/relationships/hyperlink" Target="http://www.nevo.co.il/case/5703734" TargetMode="External"/><Relationship Id="rId23" Type="http://schemas.openxmlformats.org/officeDocument/2006/relationships/hyperlink" Target="http://www.nevo.co.il/case/6118595" TargetMode="External"/><Relationship Id="rId24" Type="http://schemas.openxmlformats.org/officeDocument/2006/relationships/hyperlink" Target="http://www.nevo.co.il/case/5958231" TargetMode="External"/><Relationship Id="rId25" Type="http://schemas.openxmlformats.org/officeDocument/2006/relationships/hyperlink" Target="http://www.nevo.co.il/case/6072945" TargetMode="External"/><Relationship Id="rId26" Type="http://schemas.openxmlformats.org/officeDocument/2006/relationships/hyperlink" Target="http://www.nevo.co.il/case/6000182" TargetMode="External"/><Relationship Id="rId27" Type="http://schemas.openxmlformats.org/officeDocument/2006/relationships/hyperlink" Target="http://www.nevo.co.il/case/5969313" TargetMode="External"/><Relationship Id="rId28" Type="http://schemas.openxmlformats.org/officeDocument/2006/relationships/hyperlink" Target="http://www.nevo.co.il/case/5578534" TargetMode="External"/><Relationship Id="rId29" Type="http://schemas.openxmlformats.org/officeDocument/2006/relationships/hyperlink" Target="http://www.nevo.co.il/law/5227/43" TargetMode="External"/><Relationship Id="rId30" Type="http://schemas.openxmlformats.org/officeDocument/2006/relationships/hyperlink" Target="http://www.nevo.co.il/law/5227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2016-03-14T10:42:00Z</dcterms:created>
  <dc:creator> </dc:creator>
  <dc:description/>
  <cp:keywords/>
  <dc:language>en-IL</dc:language>
  <cp:lastModifiedBy>hofit</cp:lastModifiedBy>
  <dcterms:modified xsi:type="dcterms:W3CDTF">2016-03-14T10:42:00Z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מרדכי עמר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2526011;2780302;2248786;2244758;5821327;5699080;5594385;5866720;5703734;6118595;5958231;6072945;6000182;5969313;5578534</vt:lpwstr>
  </property>
  <property fmtid="{D5CDD505-2E9C-101B-9397-08002B2CF9AE}" pid="9" name="CITY">
    <vt:lpwstr>ב"ש</vt:lpwstr>
  </property>
  <property fmtid="{D5CDD505-2E9C-101B-9397-08002B2CF9AE}" pid="10" name="DATE">
    <vt:lpwstr>20120530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מרדכי לוי</vt:lpwstr>
  </property>
  <property fmtid="{D5CDD505-2E9C-101B-9397-08002B2CF9AE}" pid="14" name="LAWLISTTMP1">
    <vt:lpwstr>70301/144.a;192;340.a;338.5</vt:lpwstr>
  </property>
  <property fmtid="{D5CDD505-2E9C-101B-9397-08002B2CF9AE}" pid="15" name="LAWLISTTMP2">
    <vt:lpwstr>5227/043</vt:lpwstr>
  </property>
  <property fmtid="{D5CDD505-2E9C-101B-9397-08002B2CF9AE}" pid="16" name="LAWYER">
    <vt:lpwstr>אבי ביטון;מנחם רובינשטיין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50033</vt:lpwstr>
  </property>
  <property fmtid="{D5CDD505-2E9C-101B-9397-08002B2CF9AE}" pid="23" name="NEWPARTB">
    <vt:lpwstr>05</vt:lpwstr>
  </property>
  <property fmtid="{D5CDD505-2E9C-101B-9397-08002B2CF9AE}" pid="24" name="NEWPARTC">
    <vt:lpwstr>11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390020120530</vt:lpwstr>
  </property>
  <property fmtid="{D5CDD505-2E9C-101B-9397-08002B2CF9AE}" pid="35" name="TYPE_N_DATE">
    <vt:lpwstr>39020120530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